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PT-2024-000014</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22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P</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2023</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PT-2024-000014</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22 de Junio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SIGIFREDO BETANCUR</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1136881498 8</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123</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YOPAL</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INDUSTRIA Y COMERCIO</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2023</w:t>
      </w:r>
      <w:r>
        <w:rPr>
          <w:rFonts w:cs="Arial" w:ascii="Arial" w:hAnsi="Arial"/>
          <w:lang w:val="es-ES"/>
        </w:rPr>
        <w:t>, e</w:t>
      </w:r>
      <w:r>
        <w:rPr>
          <w:rFonts w:cs="Arial" w:ascii="Arial" w:hAnsi="Arial"/>
        </w:rPr>
        <w:t xml:space="preserve">l contribuyente </w:t>
      </w:r>
      <w:r>
        <w:rPr>
          <w:rFonts w:cs="Arial" w:ascii="Arial" w:hAnsi="Arial"/>
          <w:b/>
        </w:rPr>
        <w:t xml:space="preserve">SIGIFREDO BETANCUR </w:t>
      </w:r>
      <w:r>
        <w:rPr>
          <w:rFonts w:cs="Arial" w:ascii="Arial" w:hAnsi="Arial"/>
        </w:rPr>
        <w:t xml:space="preserve">identificado con </w:t>
      </w:r>
      <w:r>
        <w:rPr>
          <w:rFonts w:cs="Arial" w:ascii="Arial" w:hAnsi="Arial"/>
          <w:b/>
        </w:rPr>
        <w:t>1136881498</w:t>
      </w:r>
      <w:r>
        <w:rPr>
          <w:rFonts w:cs="Arial" w:ascii="Arial" w:hAnsi="Arial"/>
        </w:rPr>
        <w:t xml:space="preserve"> </w:t>
      </w:r>
      <w:r>
        <w:rPr>
          <w:rFonts w:cs="Arial" w:ascii="Arial" w:hAnsi="Arial"/>
          <w:b/>
        </w:rPr>
        <w:t xml:space="preserve">8  </w:t>
      </w:r>
      <w:r>
        <w:rPr>
          <w:rFonts w:cs="Arial" w:ascii="Arial" w:hAnsi="Arial"/>
        </w:rPr>
        <w:t>fue reportado por la empresa, OPL CARGA SAS</w:t>
      </w:r>
      <w:r>
        <w:rPr>
          <w:rFonts w:cs="Arial" w:ascii="Arial" w:hAnsi="Arial"/>
          <w:b/>
        </w:rPr>
        <w:t xml:space="preserve"> </w:t>
      </w:r>
      <w:r>
        <w:rPr>
          <w:rFonts w:cs="Arial" w:ascii="Arial" w:hAnsi="Arial"/>
        </w:rPr>
        <w:t xml:space="preserve">por un valor de </w:t>
      </w:r>
      <w:r>
        <w:rPr>
          <w:rFonts w:cs="Arial" w:ascii="Arial" w:hAnsi="Arial"/>
          <w:b/>
        </w:rPr>
        <w:t>Cuatro Millones Doscientos Mil Pesos M/CTE ($4.200.000,00)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