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12348</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27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1</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12348</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27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LETICIA LISBET LAURENS BELÑO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1129576762 5</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x123 con cra B2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LETICIA LISBET LAURENS BELÑO </w:t>
      </w:r>
      <w:r>
        <w:rPr>
          <w:rFonts w:cs="Arial" w:ascii="Arial" w:hAnsi="Arial"/>
        </w:rPr>
        <w:t xml:space="preserve">identificado con </w:t>
      </w:r>
      <w:r>
        <w:rPr>
          <w:rFonts w:cs="Arial" w:ascii="Arial" w:hAnsi="Arial"/>
          <w:b/>
        </w:rPr>
        <w:t>1129576762</w:t>
      </w:r>
      <w:r>
        <w:rPr>
          <w:rFonts w:cs="Arial" w:ascii="Arial" w:hAnsi="Arial"/>
        </w:rPr>
        <w:t xml:space="preserve"> </w:t>
      </w:r>
      <w:r>
        <w:rPr>
          <w:rFonts w:cs="Arial" w:ascii="Arial" w:hAnsi="Arial"/>
          <w:b/>
        </w:rPr>
        <w:t xml:space="preserve">5  </w:t>
      </w:r>
      <w:r>
        <w:rPr>
          <w:rFonts w:cs="Arial" w:ascii="Arial" w:hAnsi="Arial"/>
        </w:rPr>
        <w:t>fue reportado por la empresa, INSTITUTO PARA EL DEPORTE Y LA RECREACIÓN DE AGUAZUL</w:t>
      </w:r>
      <w:r>
        <w:rPr>
          <w:rFonts w:cs="Arial" w:ascii="Arial" w:hAnsi="Arial"/>
          <w:b/>
        </w:rPr>
        <w:t xml:space="preserve"> </w:t>
      </w:r>
      <w:r>
        <w:rPr>
          <w:rFonts w:cs="Arial" w:ascii="Arial" w:hAnsi="Arial"/>
        </w:rPr>
        <w:t xml:space="preserve">por un valor de </w:t>
      </w:r>
      <w:r>
        <w:rPr>
          <w:rFonts w:cs="Arial" w:ascii="Arial" w:hAnsi="Arial"/>
          <w:b/>
        </w:rPr>
        <w:t>Nueve Millones Setecientos Cincuenta Mil Pesos M/CTE ($9.750.000,00)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