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708"/>
        <w:rPr>
          <w:rFonts w:ascii="Arial" w:hAnsi="Arial" w:cs="Arial"/>
          <w:sz w:val="20"/>
          <w:szCs w:val="20"/>
        </w:rPr>
      </w:pPr>
      <w:r>
        <w:rPr>
          <w:rFonts w:cs="Arial" w:ascii="Arial" w:hAnsi="Arial"/>
          <w:sz w:val="20"/>
          <w:szCs w:val="20"/>
        </w:rPr>
        <w:t>1200.180.3</w:t>
      </w:r>
    </w:p>
    <w:p>
      <w:pPr>
        <w:pStyle w:val="Normal"/>
        <w:spacing w:lineRule="auto" w:line="240" w:before="0" w:after="0"/>
        <w:ind w:firstLine="708"/>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t>RESOLUCIÓN No. 00002</w:t>
      </w:r>
    </w:p>
    <w:p>
      <w:pPr>
        <w:pStyle w:val="Normal"/>
        <w:spacing w:lineRule="auto" w:line="240" w:before="0" w:after="0"/>
        <w:jc w:val="center"/>
        <w:rPr>
          <w:rFonts w:ascii="Arial" w:hAnsi="Arial" w:cs="Arial"/>
          <w:sz w:val="20"/>
          <w:szCs w:val="20"/>
        </w:rPr>
      </w:pPr>
      <w:r>
        <w:rPr>
          <w:rFonts w:cs="Arial" w:ascii="Arial" w:hAnsi="Arial"/>
          <w:sz w:val="20"/>
          <w:szCs w:val="20"/>
        </w:rPr>
        <w:t>24 de Mayo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t>Por medio de la cual se Sanciona a un Contribuyente del Impuesto de Industria y Comercio</w:t>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r>
    </w:p>
    <w:tbl>
      <w:tblPr>
        <w:tblW w:w="9964"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942"/>
        <w:gridCol w:w="192"/>
        <w:gridCol w:w="2443"/>
        <w:gridCol w:w="190"/>
        <w:gridCol w:w="3197"/>
      </w:tblGrid>
      <w:tr>
        <w:trPr>
          <w:trHeight w:val="244"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TIPO DE IMPUESTO</w:t>
            </w:r>
          </w:p>
        </w:tc>
        <w:tc>
          <w:tcPr>
            <w:tcW w:w="192"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AÑO GRAVABLE</w:t>
            </w:r>
          </w:p>
        </w:tc>
        <w:tc>
          <w:tcPr>
            <w:tcW w:w="190"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RÉGIMEN TRIBUTARIO</w:t>
            </w:r>
          </w:p>
        </w:tc>
      </w:tr>
      <w:tr>
        <w:trPr>
          <w:trHeight w:val="28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b w:val="false"/>
                <w:b w:val="false"/>
                <w:bCs w:val="false"/>
              </w:rPr>
            </w:pPr>
            <w:r>
              <w:rPr>
                <w:rFonts w:eastAsia="Times New Roman" w:cs="Arial" w:ascii="Arial" w:hAnsi="Arial"/>
                <w:b w:val="false"/>
                <w:bCs w:val="false"/>
                <w:color w:val="000000"/>
                <w:sz w:val="18"/>
                <w:szCs w:val="18"/>
                <w:lang w:eastAsia="es-CO"/>
              </w:rPr>
              <w:t>IMPUESTO DE INDUSTRIA Y COMERCIO</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2022</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COMÚN</w:t>
            </w:r>
          </w:p>
        </w:tc>
      </w:tr>
      <w:tr>
        <w:trPr>
          <w:trHeight w:val="288"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 EXPEDIENTE</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FECHA APERTURA PROCESO</w:t>
            </w:r>
          </w:p>
        </w:tc>
      </w:tr>
      <w:tr>
        <w:trPr>
          <w:trHeight w:val="32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24 de Mayo de 2024</w:t>
            </w:r>
          </w:p>
        </w:tc>
      </w:tr>
      <w:tr>
        <w:trPr>
          <w:trHeight w:val="26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NIT</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DV</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NOMBRE O RAZÓN SOCIAL</w:t>
            </w:r>
          </w:p>
        </w:tc>
      </w:tr>
      <w:tr>
        <w:trPr>
          <w:trHeight w:val="715"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4258293</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sz w:val="18"/>
                <w:szCs w:val="18"/>
              </w:rPr>
              <w:t>4</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JOSE RAMIRO MENDIVIESO HERRERA</w:t>
            </w:r>
          </w:p>
        </w:tc>
      </w:tr>
      <w:tr>
        <w:trPr>
          <w:trHeight w:val="24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DIRECCIÓN</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DEPARTAMENTO</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MUNICIPIO</w:t>
            </w:r>
          </w:p>
        </w:tc>
      </w:tr>
      <w:tr>
        <w:trPr>
          <w:trHeight w:val="282"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direccion 1</w:t>
            </w:r>
          </w:p>
        </w:tc>
        <w:tc>
          <w:tcPr>
            <w:tcW w:w="19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ANTIOQUIA</w:t>
            </w:r>
          </w:p>
        </w:tc>
        <w:tc>
          <w:tcPr>
            <w:tcW w:w="19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MEDELLÍN</w:t>
            </w:r>
          </w:p>
        </w:tc>
      </w:tr>
    </w:tbl>
    <w:p>
      <w:pPr>
        <w:pStyle w:val="Normal"/>
        <w:spacing w:lineRule="auto" w:line="240" w:before="0" w:after="0"/>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b/>
          <w:b/>
          <w:sz w:val="20"/>
          <w:szCs w:val="20"/>
        </w:rPr>
      </w:pPr>
      <w:r>
        <w:rPr>
          <w:rFonts w:cs="Arial" w:ascii="Arial" w:hAnsi="Arial"/>
          <w:sz w:val="20"/>
          <w:szCs w:val="20"/>
        </w:rPr>
        <w:t>La Secretaría de Hacienda del Municipio de Aguazul Casanare, en uso de sus facultades Legales y en especial las conferidas en el artículo 3, 446, 447, 448, 449, 450, 451, 452, y los artículos 608 al 641 del Acuerdo No. 013 de fecha 09 de diciembre de 2012, modificado por el Acuerdo 02 de febrero de 2013, Acuerdo 01 de febrero de 2015, Acuerdo 01 de febrero de 2017 en concordancia con los artículos 643 y 716 del Estatuto Tributario Nacional; profiere la presente Resolución Sanción.</w:t>
      </w:r>
    </w:p>
    <w:p>
      <w:pPr>
        <w:pStyle w:val="ListParagraph"/>
        <w:spacing w:lineRule="auto" w:line="240" w:before="0" w:after="0"/>
        <w:ind w:left="0" w:hanging="0"/>
        <w:contextualSpacing w:val="false"/>
        <w:rPr>
          <w:rFonts w:ascii="Arial" w:hAnsi="Arial" w:cs="Arial"/>
          <w:b/>
          <w:b/>
          <w:sz w:val="20"/>
          <w:szCs w:val="20"/>
        </w:rPr>
      </w:pPr>
      <w:r>
        <w:rPr>
          <w:rFonts w:cs="Arial" w:ascii="Arial" w:hAnsi="Arial"/>
          <w:b/>
          <w:sz w:val="20"/>
          <w:szCs w:val="20"/>
        </w:rPr>
      </w:r>
    </w:p>
    <w:p>
      <w:pPr>
        <w:pStyle w:val="ListParagraph"/>
        <w:spacing w:lineRule="auto" w:line="240" w:before="0" w:after="0"/>
        <w:ind w:left="0" w:hanging="0"/>
        <w:contextualSpacing w:val="false"/>
        <w:jc w:val="center"/>
        <w:rPr>
          <w:rFonts w:ascii="Arial" w:hAnsi="Arial" w:cs="Arial"/>
          <w:b/>
          <w:b/>
          <w:sz w:val="20"/>
          <w:szCs w:val="20"/>
        </w:rPr>
      </w:pPr>
      <w:r>
        <w:rPr>
          <w:rFonts w:cs="Arial" w:ascii="Arial" w:hAnsi="Arial"/>
          <w:b/>
          <w:sz w:val="20"/>
          <w:szCs w:val="20"/>
        </w:rPr>
        <w:t>CONSIDERANDO</w:t>
      </w:r>
    </w:p>
    <w:p>
      <w:pPr>
        <w:pStyle w:val="ListParagraph"/>
        <w:spacing w:lineRule="auto" w:line="240" w:before="0" w:after="0"/>
        <w:ind w:left="0" w:hanging="0"/>
        <w:contextualSpacing w:val="false"/>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sz w:val="20"/>
          <w:szCs w:val="20"/>
        </w:rPr>
      </w:pPr>
      <w:r>
        <w:rPr>
          <w:rFonts w:cs="Arial" w:ascii="Arial" w:hAnsi="Arial"/>
          <w:sz w:val="20"/>
          <w:szCs w:val="20"/>
          <w:lang w:val="es-CO"/>
        </w:rPr>
        <w:t xml:space="preserve">1. </w:t>
      </w:r>
      <w:r>
        <w:rPr>
          <w:rFonts w:cs="Arial" w:ascii="Arial" w:hAnsi="Arial"/>
          <w:sz w:val="20"/>
          <w:szCs w:val="20"/>
        </w:rPr>
        <w:t>Que el contribuyente JOSE RAMIRO MENDIVIESO HERRERA  identificado con NIT. 4258293-4, no presentó la declaración del Impuesto de Industria y Comercio, Avisos y Tableros del año gravable 2022.</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2. Que la Secretaría de Hacienda Municipal realizó cruce de información exógena según formato F-SHY10, para el año gravable 2022, encontrando que el contribuyente </w:t>
      </w:r>
      <w:r>
        <w:rPr>
          <w:rFonts w:cs="Arial" w:ascii="Arial" w:hAnsi="Arial"/>
          <w:b/>
          <w:sz w:val="20"/>
          <w:szCs w:val="20"/>
        </w:rPr>
        <w:t>JOSE RAMIRO MENDIVIESO HERRERA</w:t>
      </w:r>
      <w:r>
        <w:rPr>
          <w:rFonts w:cs="Arial" w:ascii="Arial" w:hAnsi="Arial"/>
          <w:sz w:val="20"/>
          <w:szCs w:val="20"/>
        </w:rPr>
        <w:t xml:space="preserve"> identificado con NIT. </w:t>
      </w:r>
      <w:r>
        <w:rPr>
          <w:rFonts w:cs="Arial" w:ascii="Arial" w:hAnsi="Arial"/>
          <w:b/>
          <w:sz w:val="20"/>
          <w:szCs w:val="20"/>
        </w:rPr>
        <w:t>4258293-4</w:t>
      </w:r>
      <w:r>
        <w:rPr>
          <w:rFonts w:cs="Arial" w:ascii="Arial" w:hAnsi="Arial"/>
          <w:sz w:val="20"/>
          <w:szCs w:val="20"/>
        </w:rPr>
        <w:t>, fue reportado por: </w:t>
      </w:r>
      <w:r>
        <w:rPr>
          <w:rFonts w:cs="Arial" w:ascii="Arial" w:hAnsi="Arial"/>
          <w:b/>
          <w:sz w:val="20"/>
          <w:szCs w:val="20"/>
        </w:rPr>
        <w:t xml:space="preserve">, </w:t>
      </w:r>
      <w:r>
        <w:rPr>
          <w:rFonts w:cs="Arial" w:ascii="Arial" w:hAnsi="Arial"/>
          <w:sz w:val="20"/>
          <w:szCs w:val="20"/>
        </w:rPr>
        <w:t xml:space="preserve">por un valor de </w:t>
      </w:r>
      <w:r>
        <w:rPr>
          <w:rFonts w:cs="Arial" w:ascii="Arial" w:hAnsi="Arial"/>
          <w:b/>
          <w:sz w:val="20"/>
          <w:szCs w:val="20"/>
        </w:rPr>
        <w:t>Ciento Setenta y Ocho Millones Quinientos Mil Pesos  M/CTE ($178.500.000,00)</w:t>
      </w:r>
      <w:r>
        <w:rPr>
          <w:rFonts w:cs="Arial" w:ascii="Arial" w:hAnsi="Arial"/>
          <w:sz w:val="20"/>
          <w:szCs w:val="20"/>
        </w:rPr>
        <w:t>, los cuales no fueron declarados al Municipio de Aguazul.</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3. Que la Administración Municipal inició proceso de investigación con el Auto de Apertura No. </w:t>
      </w:r>
      <w:r>
        <w:rPr>
          <w:rFonts w:eastAsia="Times New Roman" w:cs="Arial" w:ascii="Arial" w:hAnsi="Arial"/>
          <w:color w:val="000000"/>
          <w:sz w:val="20"/>
          <w:szCs w:val="20"/>
          <w:lang w:eastAsia="es-CO"/>
        </w:rPr>
        <w:t xml:space="preserve">  </w:t>
      </w:r>
      <w:r>
        <w:rPr>
          <w:rFonts w:cs="Arial" w:ascii="Arial" w:hAnsi="Arial"/>
          <w:sz w:val="20"/>
          <w:szCs w:val="20"/>
        </w:rPr>
        <w:t xml:space="preserve">el día </w:t>
      </w:r>
      <w:r>
        <w:rPr>
          <w:rFonts w:eastAsia="Times New Roman" w:cs="Arial" w:ascii="Arial" w:hAnsi="Arial"/>
          <w:color w:val="000000"/>
          <w:sz w:val="20"/>
          <w:szCs w:val="20"/>
          <w:lang w:eastAsia="es-CO"/>
        </w:rPr>
        <w:t>24 de Mayo de 2024</w:t>
      </w:r>
      <w:r>
        <w:rPr>
          <w:rFonts w:cs="Arial" w:ascii="Arial" w:hAnsi="Arial"/>
          <w:sz w:val="20"/>
          <w:szCs w:val="20"/>
        </w:rPr>
        <w:t xml:space="preserve">, por el programa de Omisos, basados en el hecho que el contribuyente </w:t>
      </w:r>
      <w:r>
        <w:rPr>
          <w:rFonts w:eastAsia="Times New Roman" w:cs="Arial" w:ascii="Arial" w:hAnsi="Arial"/>
          <w:color w:val="000000"/>
          <w:sz w:val="20"/>
          <w:szCs w:val="20"/>
          <w:lang w:eastAsia="es-CO"/>
        </w:rPr>
        <w:t xml:space="preserve">JOSE RAMIRO MENDIVIESO HERRERA  </w:t>
      </w:r>
      <w:r>
        <w:rPr>
          <w:rFonts w:cs="Arial" w:ascii="Arial" w:hAnsi="Arial"/>
          <w:sz w:val="20"/>
          <w:szCs w:val="20"/>
        </w:rPr>
        <w:t>identificado con el NIT. 4258293-4 no presentó la Declaración del Impuesto de Industria y Comercio para el año gravable 2022.</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4. Que según guía No. 3333 de la empresa de correos COORDINADORA, se envió al contribuyente JOSE RAMIRO MENDIVIESO HERRERA identificado con NIT. 4258293 el EMPLAZAMIENTO No. 2024-0002 a la dirección direccion 1 MEDELLÍN - ANTIOQUIA, presentando recibido de la correspondencia el día 2024-02-01 donde se le informa al contribuyente la obligación para con el fisco Municipal de Aguazul, de declarar el Impuesto de Industria y Comercio, Avisos y Tableros año gravable 2022 y se advierte que el incumplimiento le puede acarrear una sanción por no declarar según lo establecido en el artículo 612 del Acuerdo No. 013 de fecha 09 de diciembre de 2012, modificado con el artículo 25 del Acuerdo 001 de febrero de 2017 en concordancia con el artículo 643 del Estatuto Tributario Nacional.</w:t>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5. Que, en el emplazamiento por no declarar, notificado conforme a las normas vigentes, se le informó sobre las implicaciones formales y sustanciales por la no presentación de la Declaración del Impuesto de Industria y Comercio.</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6. Con base en el memorial explicativo de las razones en que se sustenta la Administración, el cual forma parte integral de la presente resolución, se profiere el presente Acto Administrativo por medio del cual se impone la Sanción por no declarar.</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7. La cuantificación de la sanción se liquida de conformidad al artículo 612 del Acuerdo No. 013 de fecha 09 de diciembre de 2012, modificado con el artículo 25 del Acuerdo 001 de febrero de 2017, en concordancia con el Art. 643 del Estatuto Tributario.</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En mérito de lo expuesto, la Secretaría de Hacienda del Municipio de Aguazul -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RESUELVE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PRIMERO</w:t>
      </w:r>
      <w:r>
        <w:rPr>
          <w:rFonts w:cs="Arial" w:ascii="Arial" w:hAnsi="Arial"/>
          <w:sz w:val="20"/>
          <w:szCs w:val="20"/>
        </w:rPr>
        <w:t>: Sancionar al contribuyente JOSE RAMIRO MENDIVIESO HERRERA identificado con NIT. 4258293-4, por no declarar el Impuesto de Industria y Comercio, Avisos y Tableros del año gravable 2022, en el Municipio de Aguazul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SEGUNDO</w:t>
      </w:r>
      <w:r>
        <w:rPr>
          <w:rFonts w:cs="Arial" w:ascii="Arial" w:hAnsi="Arial"/>
          <w:sz w:val="20"/>
          <w:szCs w:val="20"/>
        </w:rPr>
        <w:t>: Fijar la sanción por no declarar en la suma de Ciento Setenta y Ocho Millones Quinientos Mil Pesos M/CTE ($178.500.000,00).</w:t>
      </w:r>
    </w:p>
    <w:p>
      <w:pPr>
        <w:pStyle w:val="Normal"/>
        <w:spacing w:lineRule="auto" w:line="240" w:before="0" w:after="0"/>
        <w:rPr>
          <w:rFonts w:ascii="Arial" w:hAnsi="Arial" w:cs="Arial"/>
          <w:color w:val="FF0000"/>
          <w:sz w:val="20"/>
          <w:szCs w:val="20"/>
        </w:rPr>
      </w:pPr>
      <w:r>
        <w:rPr>
          <w:rFonts w:cs="Arial" w:ascii="Arial" w:hAnsi="Arial"/>
          <w:color w:val="FF0000"/>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TERCERO</w:t>
      </w:r>
      <w:r>
        <w:rPr>
          <w:rFonts w:cs="Arial" w:ascii="Arial" w:hAnsi="Arial"/>
          <w:sz w:val="20"/>
          <w:szCs w:val="20"/>
        </w:rPr>
        <w:t>: Contra la presente Resolución Procede el recurso de reconsideración, ante la Secretaría de Hacienda Municipal, dentro de los DOS (02) meses siguientes a la notificación del presente acto administrativo, de conformidad con el artículo 640 del Acuerdo No. 013 de fecha 09 de diciembre de 2012, modificado con el artículo 29 del Acuerdo 001 de 2017 en concordancia con el artículo 720 y 732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CUARTO</w:t>
      </w:r>
      <w:r>
        <w:rPr>
          <w:rFonts w:cs="Arial" w:ascii="Arial" w:hAnsi="Arial"/>
          <w:sz w:val="20"/>
          <w:szCs w:val="20"/>
        </w:rPr>
        <w:t>: NOTIFICAR la presente resolución de conformidad con los artículos 411 y siguientes del Acuerdo No. 013 de fecha 09 de diciembre de 2012, en concordancia con los artículos 565 y siguientes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Dada en Aguazul Casanare el día 24 de Mayo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NOTIFÍQUESE Y CÚMPLASE</w:t>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jc w:val="center"/>
        <w:rPr>
          <w:rFonts w:ascii="Arial" w:hAnsi="Arial" w:eastAsia="" w:cs="Arial" w:eastAsiaTheme="minorEastAsia"/>
          <w:b/>
          <w:b/>
          <w:sz w:val="20"/>
          <w:szCs w:val="20"/>
        </w:rPr>
      </w:pPr>
      <w:r>
        <w:rPr>
          <w:rFonts w:eastAsia="" w:cs="Arial" w:ascii="Arial" w:hAnsi="Arial" w:eastAsiaTheme="minorEastAsia"/>
          <w:b/>
          <w:sz w:val="20"/>
          <w:szCs w:val="20"/>
        </w:rPr>
        <w:t>XXXXXXXXXXX</w:t>
      </w:r>
    </w:p>
    <w:p>
      <w:pPr>
        <w:pStyle w:val="Normal"/>
        <w:spacing w:lineRule="auto" w:line="240" w:before="0" w:after="0"/>
        <w:jc w:val="center"/>
        <w:rPr>
          <w:rFonts w:ascii="Arial" w:hAnsi="Arial" w:eastAsia="" w:cs="Arial" w:eastAsiaTheme="minorEastAsia"/>
          <w:sz w:val="20"/>
          <w:szCs w:val="20"/>
          <w:lang w:val="es-ES_tradnl"/>
        </w:rPr>
      </w:pPr>
      <w:r>
        <w:rPr>
          <w:rFonts w:eastAsia="" w:cs="Arial" w:ascii="Arial" w:hAnsi="Arial" w:eastAsiaTheme="minorEastAsia"/>
          <w:sz w:val="20"/>
          <w:szCs w:val="20"/>
        </w:rPr>
        <w:t>Profesional Universitario - Rentas</w:t>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SISTEMA SISTEMA</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Fonts w:cs="Arial" w:ascii="Arial" w:hAnsi="Arial"/>
        <w:sz w:val="13"/>
        <w:szCs w:val="13"/>
      </w:rPr>
      <w:drawing>
        <wp:anchor behindDoc="1" distT="0" distB="0" distL="0" distR="0" simplePos="0" locked="0" layoutInCell="0" allowOverlap="1" relativeHeight="3">
          <wp:simplePos x="0" y="0"/>
          <wp:positionH relativeFrom="column">
            <wp:posOffset>5633085</wp:posOffset>
          </wp:positionH>
          <wp:positionV relativeFrom="paragraph">
            <wp:posOffset>14605</wp:posOffset>
          </wp:positionV>
          <wp:extent cx="725170" cy="492760"/>
          <wp:effectExtent l="0" t="0" r="0" b="0"/>
          <wp:wrapNone/>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p>
  <w:p>
    <w:pPr>
      <w:pStyle w:val="Footer"/>
      <w:ind w:right="33" w:hanging="0"/>
      <w:rPr>
        <w:rFonts w:ascii="Arial" w:hAnsi="Arial" w:cs="Arial"/>
        <w:sz w:val="13"/>
        <w:szCs w:val="13"/>
      </w:rPr>
    </w:pPr>
    <w:hyperlink r:id="rId3">
      <w:r>
        <w:rPr/>
        <w:drawing>
          <wp:anchor behindDoc="1" distT="0" distB="0" distL="0" distR="0" simplePos="0" locked="0" layoutInCell="0" allowOverlap="1" relativeHeight="7">
            <wp:simplePos x="0" y="0"/>
            <wp:positionH relativeFrom="margin">
              <wp:align>left</wp:align>
            </wp:positionH>
            <wp:positionV relativeFrom="paragraph">
              <wp:posOffset>-254000</wp:posOffset>
            </wp:positionV>
            <wp:extent cx="5272405" cy="588010"/>
            <wp:effectExtent l="0" t="0" r="0" b="0"/>
            <wp:wrapNone/>
            <wp:docPr id="3"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1</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p>
    <w:pPr>
      <w:pStyle w:val="Footer"/>
      <w:jc w:val="center"/>
      <w:rPr>
        <w:rFonts w:ascii="Arial" w:hAnsi="Arial" w:cs="Arial"/>
        <w:b/>
        <w:b/>
        <w:bCs/>
        <w:sz w:val="13"/>
        <w:szCs w:val="13"/>
      </w:rPr>
    </w:pPr>
    <w:r>
      <w:rPr>
        <w:rFonts w:cs="Arial" w:ascii="Arial" w:hAnsi="Arial"/>
        <w:b/>
        <w:bCs/>
        <w:sz w:val="13"/>
        <w:szCs w:val="13"/>
      </w:rPr>
    </w:r>
  </w:p>
  <w:p>
    <w:pPr>
      <w:pStyle w:val="Footer"/>
      <w:jc w:val="center"/>
      <w:rPr>
        <w:rFonts w:ascii="Arial" w:hAnsi="Arial" w:cs="Arial"/>
        <w:b/>
        <w:b/>
        <w:bCs/>
        <w:sz w:val="13"/>
        <w:szCs w:val="13"/>
      </w:rPr>
    </w:pPr>
    <w:r>
      <w:rPr>
        <w:rFonts w:cs="Arial" w:ascii="Arial" w:hAnsi="Arial"/>
        <w:b/>
        <w:bCs/>
        <w:sz w:val="13"/>
        <w:szCs w:val="13"/>
      </w:rPr>
    </w:r>
  </w:p>
  <w:p>
    <w:pPr>
      <w:pStyle w:val="Footer"/>
      <w:tabs>
        <w:tab w:val="center" w:pos="4419" w:leader="none"/>
        <w:tab w:val="center" w:pos="8838" w:leader="none"/>
      </w:tabs>
      <w:rPr>
        <w:rFonts w:ascii="Arial" w:hAnsi="Arial" w:cs="Arial"/>
        <w:sz w:val="16"/>
        <w:szCs w:val="16"/>
      </w:rPr>
    </w:pPr>
    <w:r>
      <w:rPr>
        <w:rFonts w:cs="Arial" w:ascii="Arial" w:hAnsi="Arial"/>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spacing w:before="0" w:after="200"/>
      <w:rPr>
        <w:rFonts w:ascii="Arial" w:hAnsi="Arial" w:cs="Arial"/>
        <w:b/>
        <w:b/>
      </w:rPr>
    </w:pPr>
    <w:r>
      <w:drawing>
        <wp:anchor behindDoc="1" distT="0" distB="0" distL="0" distR="0" simplePos="0" locked="0" layoutInCell="1" allowOverlap="1" relativeHeight="5">
          <wp:simplePos x="0" y="0"/>
          <wp:positionH relativeFrom="column">
            <wp:posOffset>5760085</wp:posOffset>
          </wp:positionH>
          <wp:positionV relativeFrom="paragraph">
            <wp:posOffset>-210185</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r>
      <w:rPr>
        <w:rFonts w:cs="Arial" w:ascii="Arial" w:hAnsi="Arial"/>
        <w:b/>
      </w:rPr>
      <w:tab/>
      <w:t>RESOLUCIÓN</w:t>
    </w:r>
  </w:p>
</w:hdr>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40b00"/>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a40b00"/>
    <w:pPr>
      <w:keepNext w:val="true"/>
      <w:widowControl w:val="false"/>
      <w:spacing w:lineRule="auto" w:line="240" w:before="0" w:after="0"/>
      <w:jc w:val="both"/>
      <w:outlineLvl w:val="0"/>
    </w:pPr>
    <w:rPr>
      <w:rFonts w:ascii="Times New Roman" w:hAnsi="Times New Roman" w:eastAsia="Times New Roman"/>
      <w:sz w:val="24"/>
      <w:szCs w:val="20"/>
      <w:lang w:eastAsia="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a40b00"/>
    <w:rPr>
      <w:rFonts w:ascii="Times New Roman" w:hAnsi="Times New Roman" w:eastAsia="Times New Roman" w:cs="Times New Roman"/>
      <w:sz w:val="24"/>
      <w:szCs w:val="20"/>
      <w:lang w:val="es-CO" w:eastAsia="es-ES"/>
    </w:rPr>
  </w:style>
  <w:style w:type="character" w:styleId="EncabezadoCar" w:customStyle="1">
    <w:name w:val="Encabezado Car"/>
    <w:basedOn w:val="DefaultParagraphFont"/>
    <w:link w:val="Header"/>
    <w:qFormat/>
    <w:rsid w:val="00a40b00"/>
    <w:rPr>
      <w:rFonts w:ascii="Calibri" w:hAnsi="Calibri" w:eastAsia="Calibri" w:cs="Times New Roman"/>
      <w:lang w:val="es-CO"/>
    </w:rPr>
  </w:style>
  <w:style w:type="character" w:styleId="PiedepginaCar" w:customStyle="1">
    <w:name w:val="Pie de página Car"/>
    <w:basedOn w:val="DefaultParagraphFont"/>
    <w:link w:val="Footer"/>
    <w:qFormat/>
    <w:rsid w:val="00a40b00"/>
    <w:rPr>
      <w:rFonts w:ascii="Calibri" w:hAnsi="Calibri" w:eastAsia="Calibri" w:cs="Times New Roman"/>
      <w:lang w:val="es-CO"/>
    </w:rPr>
  </w:style>
  <w:style w:type="character" w:styleId="InternetLink">
    <w:name w:val="Hyperlink"/>
    <w:uiPriority w:val="99"/>
    <w:unhideWhenUsed/>
    <w:rsid w:val="00a40b00"/>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nhideWhenUsed/>
    <w:rsid w:val="00a40b0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a40b00"/>
    <w:pPr>
      <w:tabs>
        <w:tab w:val="clear" w:pos="720"/>
        <w:tab w:val="center" w:pos="4419" w:leader="none"/>
        <w:tab w:val="right" w:pos="8838" w:leader="none"/>
      </w:tabs>
      <w:spacing w:lineRule="auto" w:line="240" w:before="0" w:after="0"/>
    </w:pPr>
    <w:rPr/>
  </w:style>
  <w:style w:type="paragraph" w:styleId="ListParagraph">
    <w:name w:val="List Paragraph"/>
    <w:basedOn w:val="Normal"/>
    <w:qFormat/>
    <w:rsid w:val="00a40b00"/>
    <w:pPr>
      <w:spacing w:before="0" w:after="200"/>
      <w:ind w:left="720" w:hanging="0"/>
      <w:contextualSpacing/>
    </w:pPr>
    <w:rPr>
      <w:lang w:val="es-ES"/>
    </w:rPr>
  </w:style>
  <w:style w:type="paragraph" w:styleId="Caption1">
    <w:name w:val="caption"/>
    <w:basedOn w:val="Normal"/>
    <w:qFormat/>
    <w:rsid w:val="00a40b00"/>
    <w:pPr>
      <w:spacing w:lineRule="auto" w:line="240" w:before="240" w:after="0"/>
      <w:jc w:val="both"/>
    </w:pPr>
    <w:rPr>
      <w:rFonts w:ascii="Arial" w:hAnsi="Arial" w:eastAsia="Times New Roman"/>
      <w:b/>
      <w:sz w:val="24"/>
      <w:szCs w:val="20"/>
      <w:lang w:val="es-ES_tradnl" w:eastAsia="es-ES"/>
    </w:rPr>
  </w:style>
  <w:style w:type="paragraph" w:styleId="Pa16" w:customStyle="1">
    <w:name w:val="Pa16"/>
    <w:basedOn w:val="Normal"/>
    <w:next w:val="Normal"/>
    <w:uiPriority w:val="99"/>
    <w:qFormat/>
    <w:rsid w:val="00a40b00"/>
    <w:pPr>
      <w:spacing w:lineRule="atLeast" w:line="321" w:before="0" w:after="0"/>
    </w:pPr>
    <w:rPr>
      <w:rFonts w:ascii="Times New Roman" w:hAnsi="Times New Roman" w:eastAsia="Times New Roman"/>
      <w:sz w:val="24"/>
      <w:szCs w:val="24"/>
      <w:lang w:val="es-E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Application>LibreOffice/7.3.7.2$Linux_X86_64 LibreOffice_project/30$Build-2</Application>
  <AppVersion>15.0000</AppVersion>
  <Pages>2</Pages>
  <Words>691</Words>
  <Characters>4437</Characters>
  <CharactersWithSpaces>5109</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2019-10-21T14:52:00Z</dcterms:created>
  <dc:creator>HP</dc:creator>
  <dc:description/>
  <dc:language>es-CO</dc:language>
  <cp:lastModifiedBy/>
  <dcterms:modified xsi:type="dcterms:W3CDTF">2023-10-12T17:24:46Z</dcterms:modified>
  <cp:revision>89</cp:revision>
  <dc:subject/>
  <dc:title/>
</cp:coreProperties>
</file>

<file path=docProps/custom.xml><?xml version="1.0" encoding="utf-8"?>
<Properties xmlns="http://schemas.openxmlformats.org/officeDocument/2006/custom-properties" xmlns:vt="http://schemas.openxmlformats.org/officeDocument/2006/docPropsVTypes"/>
</file>