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2024004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2024-09-24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2024004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2024-09-24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24 de Septiembre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VICTOR ANDRES MURILLO ROLON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1136880948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5464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444444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2024-08-29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899999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