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3.jpeg" ContentType="image/jpeg"/>
  <Override PartName="/word/media/hdphoto1.wdp" ContentType="image/vnd.ms-photo"/>
  <Override PartName="/word/media/image2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91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7"/>
        <w:gridCol w:w="236"/>
        <w:gridCol w:w="5812"/>
      </w:tblGrid>
      <w:tr>
        <w:trPr/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140.33.02.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 xml:space="preserve"> 5555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Fecha: Jueves, 15 de 2024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  <w:t>AUTO No. 5555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“</w:t>
      </w: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POR MEDIO DEL CUAL SE CIERRA LA ETAPA DE DETERMINACIÓN DEL TRIBUTO Y SE HACE TRASLADO DE UN TÍTULO AL ÁREA DE COBRO COACTIVO”.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</w:r>
    </w:p>
    <w:tbl>
      <w:tblPr>
        <w:tblStyle w:val="Tablaconcuadrcula"/>
        <w:tblW w:w="7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2"/>
        <w:gridCol w:w="5807"/>
      </w:tblGrid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Expediente: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5555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Predial Anterior: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010000670006000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0100000000670006000000000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Contribuyente(s):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REBECA DIAZ SANCHEZ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C.C. / NIT.: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21208063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Tributo: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IMPUESTO PREDIAL UNIFICADO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La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 348, 349, 350, 352 y 353 del </w:t>
      </w:r>
      <w:r>
        <w:rPr>
          <w:rFonts w:eastAsia="Times New Roman" w:cs="Arial" w:ascii="Arial" w:hAnsi="Arial"/>
          <w:sz w:val="16"/>
          <w:szCs w:val="16"/>
        </w:rPr>
        <w:t>Estatuto de Rentas Municipal de Aguazul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(Acuerdo Municipal No 020 del 21 de diciembre de 2016</w:t>
      </w:r>
      <w:r>
        <w:rPr>
          <w:rFonts w:eastAsia="Times New Roman" w:cs="Arial" w:ascii="Arial" w:hAnsi="Arial"/>
          <w:sz w:val="16"/>
          <w:szCs w:val="16"/>
        </w:rPr>
        <w:t>) y,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CONSIDERANDO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1°-. Que de conformidad con el parágrafo 32 del Estatuto de Rentas (Acuerdo 020/2016) modificado por el artículo 1 del Acuerdo 012/ 2017 en concordancia con el al artículo 354 de la L. 1819/2016, se emitió el acto de determinación oficial “Factura de liquidación No. 44444” el cual se notificó mediante inserción en página web dirección: </w:t>
      </w:r>
      <w:hyperlink r:id="rId2">
        <w:r>
          <w:rPr>
            <w:rStyle w:val="InternetLink"/>
            <w:rFonts w:eastAsia="Times New Roman" w:cs="Arial" w:ascii="Arial" w:hAnsi="Arial"/>
            <w:bCs/>
            <w:sz w:val="16"/>
            <w:szCs w:val="16"/>
            <w:lang w:val="es-MX"/>
          </w:rPr>
          <w:t>https://www.aguazul-casanare.gov.co/tema/notificaciones-de-hacienda</w:t>
        </w:r>
      </w:hyperlink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 y en lugar visible de la cartelera de la Entidad.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01-06-2024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>
        <w:rPr>
          <w:rFonts w:eastAsia="Times New Roman" w:cs="Arial" w:ascii="Arial" w:hAnsi="Arial"/>
          <w:sz w:val="16"/>
          <w:szCs w:val="16"/>
          <w:lang w:val="es-MX"/>
        </w:rPr>
        <w:t>En mérito de lo expuesto,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DISPONE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 xml:space="preserve">ARTÍCULO PRIMERO: </w:t>
      </w:r>
      <w:r>
        <w:rPr>
          <w:rFonts w:eastAsia="Times New Roman" w:cs="Arial" w:ascii="Arial" w:hAnsi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bCs/>
          <w:sz w:val="16"/>
          <w:szCs w:val="16"/>
          <w:lang w:val="es-MX"/>
        </w:rPr>
        <w:t xml:space="preserve">ARTÍCULO SEGUNDO: </w:t>
      </w:r>
      <w:r>
        <w:rPr>
          <w:rFonts w:eastAsia="Times New Roman" w:cs="Arial" w:ascii="Arial" w:hAnsi="Arial"/>
          <w:sz w:val="16"/>
          <w:szCs w:val="16"/>
          <w:lang w:val="es-MX"/>
        </w:rPr>
        <w:t>Hacer traslado del expediente No. ${numero_expediente} que consta de 47 folios, el cual contiene el título ejecutivo LIQUIDACIÓN/FACTURA No. 44444, al área de cobro o quien haga sus veces para adelantar las actuaciones pertinentes.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 xml:space="preserve">        </w:t>
      </w: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MARTHA CECILIA FUENTES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Despacho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Hacienda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6"/>
        <w:gridCol w:w="3802"/>
      </w:tblGrid>
      <w:tr>
        <w:trPr/>
        <w:tc>
          <w:tcPr>
            <w:tcW w:w="5036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Elaboró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SISTEMA SISTEMA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Contratado de la SH</w:t>
            </w:r>
          </w:p>
        </w:tc>
        <w:tc>
          <w:tcPr>
            <w:tcW w:w="3802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Revisó: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Nury Esmeralda Rodríguez Buitrago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Universitario de Impuestos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7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9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10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12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4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5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6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5d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rsid w:val="00a305d1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305d1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a305d1"/>
    <w:rPr>
      <w:rFonts w:ascii="Calibri" w:hAnsi="Calibri" w:eastAsia="Calibri" w:cs="Calibri"/>
    </w:rPr>
  </w:style>
  <w:style w:type="character" w:styleId="Ttulo1Car" w:customStyle="1">
    <w:name w:val="Título 1 Car"/>
    <w:basedOn w:val="DefaultParagraphFont"/>
    <w:link w:val="Heading1"/>
    <w:qFormat/>
    <w:rsid w:val="00a305d1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semiHidden/>
    <w:qFormat/>
    <w:rsid w:val="009731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fa1ae9"/>
    <w:rPr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a1ae9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d61c5"/>
    <w:rPr>
      <w:rFonts w:ascii="Calibri" w:hAnsi="Calibri" w:eastAsia="Calibri" w:cs="Calibri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1728c"/>
    <w:rPr>
      <w:rFonts w:ascii="Segoe UI" w:hAnsi="Segoe UI" w:eastAsia="Calibr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155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548b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SinespaciadoCar"/>
    <w:uiPriority w:val="1"/>
    <w:qFormat/>
    <w:rsid w:val="00a305d1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25ce4"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TextonotapieCar"/>
    <w:uiPriority w:val="99"/>
    <w:semiHidden/>
    <w:unhideWhenUsed/>
    <w:rsid w:val="00fa1ae9"/>
    <w:pPr>
      <w:spacing w:lineRule="auto" w:line="240" w:before="0" w:after="0"/>
    </w:pPr>
    <w:rPr>
      <w:rFonts w:cs="" w:cstheme="minorBidi"/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172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d06cc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uazul-casanare.gov.co/tema/notificaciones-de-haciend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Application>LibreOffice/7.3.7.2$Linux_X86_64 LibreOffice_project/30$Build-2</Application>
  <AppVersion>15.0000</AppVersion>
  <Pages>1</Pages>
  <Words>383</Words>
  <Characters>2342</Characters>
  <CharactersWithSpaces>2699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2023-03-28T12:55:00Z</dcterms:created>
  <dc:creator>Profesional Impuesto Predial</dc:creator>
  <dc:description/>
  <dc:language>es-CO</dc:language>
  <cp:lastModifiedBy/>
  <cp:lastPrinted>2020-07-16T17:45:00Z</cp:lastPrinted>
  <dcterms:modified xsi:type="dcterms:W3CDTF">2024-07-05T16:50:45Z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