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789456123</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070000020010000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3 1 30 IGLESIA SAN BENITO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SM</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2024-07-06</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DIOCESIS DE YOPAL, PARROQUIA AGUAZUL</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891855518, 8918555185</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2022</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45.388.000,00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227.000,00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227.000,00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