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2017,2018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2017,2018</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Treinta y Cinco Mil Seiscientos Pesos M/CTE ($235.600,00)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