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2024-0006 de fecha Sábado, 15 de Junio de 2024, fue debidamente publicado en el Portal Web del Municipio de Aguazul, aviso fijado el día Sábado, 15 de Junio de 2024, y desfijado el día Sábado, 22 de Junio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Sábado, 15 de Junio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