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004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2024-03-01</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070000030004000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1118548845</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0.0662</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662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98</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1 175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POLICARPO GALINDO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2020,2021</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2020</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$ 16.198.000,00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$ 97.200,00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$ 111.100,00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$ 208.300,00</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2021</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$ 16.684.000,00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$ 100.100,00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$ 96.400,00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$ 196.500,00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$ 197.300,00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$ 207.500,00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$ 404.800,00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070000030004000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1 175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POLICARPO GALINDO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2020,2021</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$ 197.300,00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004</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