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002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Martes, 25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002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002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070000030004000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0700000000030004000000000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PABLO ROJAS RAMOS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1105469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003”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25-06-2024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002 que consta de 2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003,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