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 2024-00005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2024-00005</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2024-07-17</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2024-00005</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2016</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${nombreRazonSocial}</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1115370</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PREDIAL UNIFICADO IPU</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060000030004000</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C 2 1 66 UNETE</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AGUAZUL</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${nombreRazonSocial} </w:t>
      </w:r>
      <w:r>
        <w:rPr>
          <w:rFonts w:eastAsia="Arial Narrow" w:cs="Arial Narrow" w:ascii="Arial Narrow" w:hAnsi="Arial Narrow"/>
          <w:sz w:val="20"/>
          <w:szCs w:val="20"/>
        </w:rPr>
        <w:t>con CC o NIT No.</w:t>
      </w:r>
      <w:r>
        <w:rPr>
          <w:rFonts w:eastAsia="Arial Narrow" w:cs="Arial Narrow" w:ascii="Arial Narrow" w:hAnsi="Arial Narrow"/>
          <w:b/>
          <w:sz w:val="20"/>
          <w:szCs w:val="20"/>
        </w:rPr>
        <w:t>${nit}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973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214"/>
        <w:gridCol w:w="366"/>
        <w:gridCol w:w="852"/>
        <w:gridCol w:w="188"/>
        <w:gridCol w:w="1030"/>
        <w:gridCol w:w="1219"/>
        <w:gridCol w:w="601"/>
        <w:gridCol w:w="617"/>
        <w:gridCol w:w="116"/>
        <w:gridCol w:w="1101"/>
        <w:gridCol w:w="178"/>
        <w:gridCol w:w="881"/>
        <w:gridCol w:w="164"/>
        <w:gridCol w:w="1204"/>
      </w:tblGrid>
      <w:tr>
        <w:trPr>
          <w:trHeight w:val="20" w:hRule="atLeast"/>
        </w:trPr>
        <w:tc>
          <w:tcPr>
            <w:tcW w:w="121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TIPO DOCUMENTO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Nº  ACTO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FECHA</w:t>
            </w:r>
          </w:p>
        </w:tc>
        <w:tc>
          <w:tcPr>
            <w:tcW w:w="1219"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CONCEPTO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AÑO</w:t>
            </w:r>
          </w:p>
        </w:tc>
        <w:tc>
          <w:tcPr>
            <w:tcW w:w="1217"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 xml:space="preserve">IMPUESTO </w:t>
            </w:r>
          </w:p>
        </w:tc>
        <w:tc>
          <w:tcPr>
            <w:tcW w:w="1223" w:type="dxa"/>
            <w:gridSpan w:val="3"/>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SANCIÓN</w:t>
            </w:r>
          </w:p>
        </w:tc>
        <w:tc>
          <w:tcPr>
            <w:tcW w:w="120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TOTAL</w:t>
            </w:r>
          </w:p>
        </w:tc>
      </w:tr>
      <w:tr>
        <w:trPr>
          <w:trHeight w:val="20" w:hRule="atLeast"/>
        </w:trPr>
        <w:tc>
          <w:tcPr>
            <w:tcW w:w="158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2021-800</w:t>
            </w:r>
          </w:p>
        </w:tc>
        <w:tc>
          <w:tcPr>
            <w:tcW w:w="10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2021-05-21</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b/>
                <w:kern w:val="0"/>
                <w:sz w:val="14"/>
                <w:szCs w:val="14"/>
                <w:lang w:val="es-ES" w:eastAsia="zh-CN" w:bidi="hi-IN"/>
              </w:rPr>
              <w:t>IMPUESTO PREDIAL UNIFICADO</w:t>
            </w:r>
          </w:p>
        </w:tc>
        <w:tc>
          <w:tcPr>
            <w:tcW w:w="733"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2016</w:t>
            </w:r>
          </w:p>
        </w:tc>
        <w:tc>
          <w:tcPr>
            <w:tcW w:w="1279"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sz w:val="14"/>
                <w:szCs w:val="14"/>
              </w:rPr>
            </w:pPr>
            <w:r>
              <w:rPr>
                <w:rFonts w:eastAsia="Arial Narrow" w:cs="Arial Narrow" w:ascii="Arial Narrow" w:hAnsi="Arial Narrow"/>
                <w:kern w:val="0"/>
                <w:sz w:val="14"/>
                <w:szCs w:val="14"/>
                <w:lang w:val="es-ES" w:eastAsia="zh-CN" w:bidi="hi-IN"/>
              </w:rPr>
              <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kern w:val="0"/>
                <w:sz w:val="14"/>
                <w:szCs w:val="14"/>
                <w:lang w:val="es-ES" w:eastAsia="zh-CN" w:bidi="hi-IN"/>
              </w:rPr>
              <w:t>N/A</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68755</w:t>
            </w:r>
          </w:p>
        </w:tc>
      </w:tr>
      <w:tr>
        <w:trPr>
          <w:trHeight w:val="20" w:hRule="atLeast"/>
        </w:trPr>
        <w:tc>
          <w:tcPr>
            <w:tcW w:w="7482" w:type="dxa"/>
            <w:gridSpan w:val="11"/>
            <w:tcBorders>
              <w:top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TOTALES</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color w:val="000000"/>
                <w:sz w:val="14"/>
                <w:szCs w:val="14"/>
              </w:rPr>
            </w:pPr>
            <w:r>
              <w:rPr>
                <w:rFonts w:eastAsia="Calibri" w:cs="Calibri"/>
                <w:kern w:val="0"/>
                <w:sz w:val="14"/>
                <w:szCs w:val="14"/>
                <w:lang w:val="es-ES" w:eastAsia="zh-CN" w:bidi="hi-IN"/>
              </w:rPr>
              <w:t>68755</w:t>
            </w:r>
          </w:p>
        </w:tc>
      </w:tr>
    </w:tbl>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bookmarkStart w:id="0" w:name="_gjdgxs"/>
      <w:bookmarkStart w:id="1" w:name="_gjdgxs"/>
      <w:bookmarkEnd w:id="1"/>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presente proceso de cobro coactivo se adelanta con fundamento en títulos ejecutivos en firme y por lo tanto la acreencia está plenamente demostrada a favor de la entidad.</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Por lo anteriormente expuesto la suscrita Secretaria de Hacienda,</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DISPONE</w:t>
      </w:r>
    </w:p>
    <w:p>
      <w:pPr>
        <w:pStyle w:val="LOnormal"/>
        <w:spacing w:lineRule="auto" w:line="240" w:before="0" w:after="0"/>
        <w:jc w:val="center"/>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PRIMERO: LIBRAR MANDAMIENTO DE PAGO </w:t>
      </w:r>
      <w:r>
        <w:rPr>
          <w:rFonts w:eastAsia="Arial Narrow" w:cs="Arial Narrow" w:ascii="Arial Narrow" w:hAnsi="Arial Narrow"/>
          <w:color w:val="000000"/>
          <w:sz w:val="20"/>
          <w:szCs w:val="20"/>
        </w:rPr>
        <w:t xml:space="preserve">a favor del </w:t>
      </w:r>
      <w:r>
        <w:rPr>
          <w:rFonts w:eastAsia="Arial Narrow" w:cs="Arial Narrow" w:ascii="Arial Narrow" w:hAnsi="Arial Narrow"/>
          <w:b/>
          <w:color w:val="000000"/>
          <w:sz w:val="20"/>
          <w:szCs w:val="20"/>
        </w:rPr>
        <w:t xml:space="preserve">MUNICIPIO DE AGUAZUL </w:t>
      </w:r>
      <w:r>
        <w:rPr>
          <w:rFonts w:eastAsia="Arial Narrow" w:cs="Arial Narrow" w:ascii="Arial Narrow" w:hAnsi="Arial Narrow"/>
          <w:color w:val="000000"/>
          <w:sz w:val="20"/>
          <w:szCs w:val="20"/>
        </w:rPr>
        <w:t xml:space="preserve">y a cargo del deudor: </w:t>
      </w:r>
      <w:r>
        <w:rPr>
          <w:rFonts w:eastAsia="Arial Narrow" w:cs="Arial Narrow" w:ascii="Arial Narrow" w:hAnsi="Arial Narrow"/>
          <w:b/>
          <w:sz w:val="20"/>
          <w:szCs w:val="20"/>
        </w:rPr>
        <w:t>${nombreRazonSocial}</w:t>
      </w:r>
      <w:r>
        <w:rPr>
          <w:rFonts w:eastAsia="Arial Narrow" w:cs="Arial Narrow" w:ascii="Arial Narrow" w:hAnsi="Arial Narrow"/>
          <w:b/>
          <w:color w:val="000000"/>
          <w:sz w:val="20"/>
          <w:szCs w:val="20"/>
        </w:rPr>
        <w:t xml:space="preserve"> </w:t>
      </w:r>
      <w:r>
        <w:rPr>
          <w:rFonts w:eastAsia="Arial Narrow" w:cs="Arial Narrow" w:ascii="Arial Narrow" w:hAnsi="Arial Narrow"/>
          <w:color w:val="000000"/>
          <w:sz w:val="20"/>
          <w:szCs w:val="20"/>
        </w:rPr>
        <w:t>con CC o NIT.</w:t>
      </w:r>
      <w:r>
        <w:rPr>
          <w:rFonts w:eastAsia="Arial Narrow" w:cs="Arial Narrow" w:ascii="Arial Narrow" w:hAnsi="Arial Narrow"/>
          <w:b/>
          <w:sz w:val="20"/>
          <w:szCs w:val="20"/>
        </w:rPr>
        <w:t xml:space="preserve"> 1115370</w:t>
      </w:r>
      <w:r>
        <w:rPr>
          <w:rFonts w:eastAsia="Arial Narrow" w:cs="Arial Narrow" w:ascii="Arial Narrow" w:hAnsi="Arial Narrow"/>
          <w:color w:val="000000"/>
          <w:sz w:val="20"/>
          <w:szCs w:val="20"/>
        </w:rPr>
        <w:t xml:space="preserve">, por la cuantía de </w:t>
      </w:r>
      <w:r>
        <w:rPr>
          <w:rFonts w:eastAsia="Arial Narrow" w:cs="Arial Narrow" w:ascii="Arial Narrow" w:hAnsi="Arial Narrow"/>
          <w:sz w:val="20"/>
          <w:szCs w:val="20"/>
        </w:rPr>
        <w:t>Cero Pesos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68755</w:t>
      </w:r>
      <w:r>
        <w:rPr>
          <w:rFonts w:eastAsia="Arial Narrow" w:cs="Arial Narrow" w:ascii="Arial Narrow" w:hAnsi="Arial Narrow"/>
          <w:color w:val="000000"/>
          <w:sz w:val="20"/>
          <w:szCs w:val="20"/>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SEGUNDO: ADVERTIR AL DEUDOR QUE DISPONE DE QUINCE (15) DIAS </w:t>
      </w:r>
      <w:r>
        <w:rPr>
          <w:rFonts w:eastAsia="Arial Narrow" w:cs="Arial Narrow" w:ascii="Arial Narrow" w:hAnsi="Arial Narrow"/>
          <w:color w:val="000000"/>
          <w:sz w:val="20"/>
          <w:szCs w:val="20"/>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TERCERO: NOTIFICAR EL PRESENTE MANDAMIENTO DE PAGO </w:t>
      </w:r>
      <w:r>
        <w:rPr>
          <w:rFonts w:eastAsia="Arial Narrow" w:cs="Arial Narrow" w:ascii="Arial Narrow" w:hAnsi="Arial Narrow"/>
          <w:color w:val="000000"/>
          <w:sz w:val="20"/>
          <w:szCs w:val="20"/>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ARTICULO CUARTO:</w:t>
      </w:r>
      <w:r>
        <w:rPr>
          <w:rFonts w:eastAsia="Arial Narrow" w:cs="Arial Narrow" w:ascii="Arial Narrow" w:hAnsi="Arial Narrow"/>
          <w:color w:val="000000"/>
          <w:sz w:val="20"/>
          <w:szCs w:val="20"/>
        </w:rPr>
        <w:t xml:space="preserve"> </w:t>
      </w:r>
      <w:r>
        <w:rPr>
          <w:rFonts w:eastAsia="Arial Narrow" w:cs="Arial Narrow" w:ascii="Arial Narrow" w:hAnsi="Arial Narrow"/>
          <w:b/>
          <w:color w:val="000000"/>
          <w:sz w:val="20"/>
          <w:szCs w:val="20"/>
        </w:rPr>
        <w:t>LÍBRENSE</w:t>
      </w:r>
      <w:r>
        <w:rPr>
          <w:rFonts w:eastAsia="Arial Narrow" w:cs="Arial Narrow" w:ascii="Arial Narrow" w:hAnsi="Arial Narrow"/>
          <w:color w:val="000000"/>
          <w:sz w:val="20"/>
          <w:szCs w:val="20"/>
        </w:rPr>
        <w:t xml:space="preserve"> los oficios correspondientes y sus respectivos registros en las oficinas competentes.</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QUINTO: INFORMAR AL DEUDOR </w:t>
      </w:r>
      <w:r>
        <w:rPr>
          <w:rFonts w:eastAsia="Arial Narrow" w:cs="Arial Narrow" w:ascii="Arial Narrow" w:hAnsi="Arial Narrow"/>
          <w:color w:val="000000"/>
          <w:sz w:val="20"/>
          <w:szCs w:val="20"/>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MARTHA CECILIA FUENTES</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Secretaria de despacho</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Secretaría de Hacienda</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b/>
          <w:i/>
          <w:color w:val="000000"/>
          <w:sz w:val="15"/>
          <w:szCs w:val="15"/>
        </w:rPr>
        <w:t xml:space="preserve">Revisión jurídica: </w:t>
      </w:r>
      <w:r>
        <w:rPr>
          <w:rFonts w:eastAsia="Arial Narrow" w:cs="Arial Narrow" w:ascii="Arial Narrow" w:hAnsi="Arial Narrow"/>
          <w:i/>
          <w:color w:val="000000"/>
          <w:sz w:val="15"/>
          <w:szCs w:val="15"/>
        </w:rPr>
        <w:t xml:space="preserve"> </w:t>
      </w:r>
      <w:r>
        <w:rPr>
          <w:rFonts w:eastAsia="Arial Narrow" w:cs="Arial Narrow" w:ascii="Arial Narrow" w:hAnsi="Arial Narrow"/>
          <w:b/>
          <w:i/>
          <w:color w:val="000000"/>
          <w:sz w:val="14"/>
          <w:szCs w:val="14"/>
        </w:rPr>
        <w:t>SISTEMA SISTEMA</w:t>
      </w:r>
      <w:r>
        <w:rPr>
          <w:rFonts w:eastAsia="Arial Narrow" w:cs="Arial Narrow" w:ascii="Arial Narrow" w:hAnsi="Arial Narrow"/>
          <w:color w:val="000000"/>
          <w:sz w:val="15"/>
          <w:szCs w:val="15"/>
        </w:rPr>
        <w:t xml:space="preserve">                                                                                           </w:t>
      </w:r>
      <w:r>
        <w:rPr>
          <w:rFonts w:eastAsia="Arial Narrow" w:cs="Arial Narrow" w:ascii="Arial Narrow" w:hAnsi="Arial Narrow"/>
          <w:b/>
          <w:color w:val="000000"/>
          <w:sz w:val="15"/>
          <w:szCs w:val="15"/>
        </w:rPr>
        <w:t>Revisó:</w:t>
      </w:r>
      <w:r>
        <w:rPr>
          <w:rFonts w:eastAsia="Arial Narrow" w:cs="Arial Narrow" w:ascii="Arial Narrow" w:hAnsi="Arial Narrow"/>
          <w:color w:val="000000"/>
          <w:sz w:val="15"/>
          <w:szCs w:val="15"/>
        </w:rPr>
        <w:t xml:space="preserve"> NURY ESMERALDA RODRÍGUEZ BUITRAGO</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color w:val="000000"/>
          <w:sz w:val="15"/>
          <w:szCs w:val="15"/>
        </w:rPr>
        <w:t xml:space="preserve">                                                                                                                                                   </w:t>
      </w:r>
      <w:r>
        <w:rPr>
          <w:rFonts w:eastAsia="Arial Narrow" w:cs="Arial Narrow" w:ascii="Arial Narrow" w:hAnsi="Arial Narrow"/>
          <w:color w:val="000000"/>
          <w:sz w:val="15"/>
          <w:szCs w:val="15"/>
        </w:rPr>
        <w:t>Profesional Universitario de Impuestos</w:t>
      </w:r>
    </w:p>
    <w:sectPr>
      <w:headerReference w:type="default" r:id="rId2"/>
      <w:footerReference w:type="default" r:id="rId3"/>
      <w:type w:val="nextPage"/>
      <w:pgSz w:w="12240" w:h="15840"/>
      <w:pgMar w:left="1080" w:right="1080" w:gutter="0" w:header="0" w:top="1440" w:footer="68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before="0" w:after="0"/>
      <w:jc w:val="right"/>
      <w:rPr>
        <w:rFonts w:ascii="Avenir" w:hAnsi="Avenir" w:eastAsia="Avenir" w:cs="Avenir"/>
        <w:color w:val="000000"/>
        <w:sz w:val="18"/>
        <w:szCs w:val="18"/>
      </w:rPr>
    </w:pPr>
    <w:r>
      <w:rPr>
        <w:color w:val="000000"/>
      </w:rPr>
      <w:tab/>
    </w:r>
    <w:r>
      <w:rPr>
        <w:rFonts w:eastAsia="Avenir" w:cs="Avenir" w:ascii="Avenir" w:hAnsi="Avenir"/>
        <w:color w:val="000000"/>
        <w:sz w:val="18"/>
        <w:szCs w:val="18"/>
      </w:rPr>
      <w:t xml:space="preserve">   </w:t>
    </w:r>
    <w:r>
      <w:rPr/>
      <w:drawing>
        <wp:inline distT="0" distB="0" distL="0" distR="0">
          <wp:extent cx="4794250" cy="5715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53770" cy="62674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rcRect l="80192" t="0" r="0" b="0"/>
                  <a:stretch>
                    <a:fillRect/>
                  </a:stretch>
                </pic:blipFill>
                <pic:spPr bwMode="auto">
                  <a:xfrm>
                    <a:off x="0" y="0"/>
                    <a:ext cx="953770" cy="626745"/>
                  </a:xfrm>
                  <a:prstGeom prst="rect">
                    <a:avLst/>
                  </a:prstGeom>
                </pic:spPr>
              </pic:pic>
            </a:graphicData>
          </a:graphic>
        </wp:inline>
      </w:drawing>
    </w:r>
    <w:r>
      <w:rPr>
        <w:color w:val="000000"/>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Normal"/>
      <w:tblW w:w="9355" w:type="dxa"/>
      <w:jc w:val="left"/>
      <w:tblInd w:w="355" w:type="dxa"/>
      <w:tblLayout w:type="fixed"/>
      <w:tblCellMar>
        <w:top w:w="0" w:type="dxa"/>
        <w:left w:w="108" w:type="dxa"/>
        <w:bottom w:w="0" w:type="dxa"/>
        <w:right w:w="108" w:type="dxa"/>
      </w:tblCellMar>
      <w:tblLook w:val="0400" w:noHBand="0" w:noVBand="1" w:firstColumn="0" w:lastRow="0" w:lastColumn="0" w:firstRow="0"/>
    </w:tblPr>
    <w:tblGrid>
      <w:gridCol w:w="1841"/>
      <w:gridCol w:w="3293"/>
      <w:gridCol w:w="2668"/>
      <w:gridCol w:w="1552"/>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b/>
              <w:b/>
            </w:rPr>
          </w:pPr>
          <w:r>
            <w:rPr>
              <w:rFonts w:eastAsia="Arial" w:cs="Arial" w:ascii="Arial" w:hAnsi="Arial"/>
              <w:b/>
              <w:kern w:val="0"/>
              <w:sz w:val="22"/>
              <w:szCs w:val="22"/>
              <w:lang w:val="es-ES" w:eastAsia="zh-CN" w:bidi="hi-IN"/>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
          </w:r>
        </w:p>
      </w:tc>
      <w:tc>
        <w:tcPr>
          <w:tcW w:w="5961"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w:hAnsi="Arial" w:eastAsia="Arial" w:cs="Arial"/>
              <w:b/>
              <w:b/>
              <w:color w:val="000000"/>
            </w:rPr>
          </w:pPr>
          <w:r>
            <w:rPr>
              <w:rFonts w:eastAsia="Arial" w:cs="Arial" w:ascii="Arial" w:hAnsi="Arial"/>
              <w:b/>
              <w:color w:val="000000"/>
              <w:kern w:val="0"/>
              <w:sz w:val="22"/>
              <w:szCs w:val="22"/>
              <w:lang w:val="es-ES" w:eastAsia="zh-CN" w:bidi="hi-IN"/>
            </w:rPr>
            <w:t>MANDAMIENTO DE PAGO</w:t>
          </w:r>
        </w:p>
      </w:tc>
      <w:tc>
        <w:tcPr>
          <w:tcW w:w="1552"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rPr>
          </w:pPr>
          <w:r>
            <w:rPr>
              <w:rFonts w:eastAsia="Arial" w:cs="Arial" w:ascii="Arial" w:hAnsi="Arial"/>
            </w:rPr>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Código: A-GF-F-14</w:t>
          </w:r>
        </w:p>
      </w:tc>
      <w:tc>
        <w:tcPr>
          <w:tcW w:w="2668"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Versión: 01</w:t>
          </w:r>
        </w:p>
      </w:tc>
      <w:tc>
        <w:tcPr>
          <w:tcW w:w="1552"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Vigente: Resolución No. 145 del 18 de abril del 2023</w:t>
          </w:r>
        </w:p>
      </w:tc>
    </w:tr>
  </w:tbl>
  <w:p>
    <w:pPr>
      <w:pStyle w:val="LOnormal"/>
      <w:tabs>
        <w:tab w:val="clear" w:pos="720"/>
        <w:tab w:val="left" w:pos="1119" w:leader="none"/>
        <w:tab w:val="center" w:pos="4419" w:leader="none"/>
        <w:tab w:val="right" w:pos="8838" w:leader="none"/>
      </w:tabs>
      <w:spacing w:lineRule="auto" w:line="240" w:before="0" w:after="0"/>
      <w:rPr>
        <w:rFonts w:ascii="Avenir" w:hAnsi="Avenir" w:eastAsia="Avenir" w:cs="Avenir"/>
        <w:color w:val="000000"/>
        <w:sz w:val="8"/>
        <w:szCs w:val="8"/>
      </w:rPr>
    </w:pPr>
    <w:r>
      <w:rPr>
        <w:rFonts w:eastAsia="Avenir" w:cs="Avenir" w:ascii="Avenir" w:hAnsi="Avenir"/>
        <w:color w:val="000000"/>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spacing w:lineRule="auto" w:line="240" w:before="240" w:after="0"/>
      <w:jc w:val="center"/>
    </w:pPr>
    <w:rPr>
      <w:rFonts w:ascii="Century Gothic" w:hAnsi="Century Gothic" w:eastAsia="Century Gothic" w:cs="Century Gothic"/>
      <w:b/>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LibreOffice/7.3.7.2$Linux_X86_64 LibreOffice_project/30$Build-2</Application>
  <AppVersion>15.0000</AppVersion>
  <Pages>2</Pages>
  <Words>751</Words>
  <Characters>4404</Characters>
  <CharactersWithSpaces>5491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2024-07-04T23:03:00Z</dcterms:created>
  <dc:creator/>
  <dc:description/>
  <dc:language>es-CO</dc:language>
  <cp:lastModifiedBy/>
  <dcterms:modified xsi:type="dcterms:W3CDTF">2024-07-08T20:38:59Z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