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140.33.02. 0008</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2024-08-01</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0008</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2024-0008</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JOSE JOAQUIN SANABRIA</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1115370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060000030004000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C 2 1 66 UNETE</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2016, la Secretaría de Hacienda apertura el expediente No. 2021-1636, expidiéndose la  liquidación oficial No. 2021-800 de fecha 2021-05-21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JOSE JOAQUIN SANABRIA</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1115370</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060000030004000, ubicado en la C 2 1 66 UNETE.</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2021-800 de fecha 2021-05-21, de conformidad con lo dispuesto en el parágrafo del artículo 32 del Acuerdo 020 de 2016, modificado por el artículo primero del Acuerdo 012 del 2017, quedando debidamente ejecutoriada la citada  liquidación oficial, el día 2021-11-02.</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202410000001 de fecha 2021-11-02, se dio por concluida la etapa de fiscalización y determinación del impuesto predial unificado, correspondiente a la vigencia fiscal 2016 del (los) contribuyente(s) JOSE JOAQUIN SANABRIA identificada (os) con cédula de ciudadanía No 1115370, y por el predio identificado con el código catastral No. 060000030004000, ubicado en la C 2 1 66 UNETE,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2024-0008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JOSE JOAQUIN SANABRIA</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2021-800 de fecha 2021-05-21</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