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_header1.png" ContentType="image/png"/>
  <Override PartName="/word/_rels/header1.xml.rels" ContentType="application/vnd.openxmlformats-package.relationships+xml"/>
  <Override PartName="/word/media/image_rId2_header1.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left="0" w:hanging="0"/>
        <w:outlineLvl w:val="0"/>
        <w:rPr>
          <w:rFonts w:ascii="Arial Narrow" w:hAnsi="Arial Narrow" w:cs="Arial"/>
          <w:b/>
          <w:b/>
          <w:bCs/>
        </w:rPr>
      </w:pPr>
      <w:r>
        <w:rPr>
          <w:rFonts w:cs="Arial" w:ascii="Arial Narrow" w:hAnsi="Arial Narrow"/>
          <w:bCs/>
        </w:rPr>
        <w:t xml:space="preserve">140.33.02.5656           </w:t>
        <w:tab/>
        <w:tab/>
        <w:tab/>
        <w:tab/>
        <w:t xml:space="preserve">                        </w:t>
      </w:r>
      <w:r>
        <w:rPr>
          <w:rFonts w:cs="Arial" w:ascii="Arial Narrow" w:hAnsi="Arial Narrow"/>
          <w:b/>
          <w:bCs/>
        </w:rPr>
        <w:t>Fecha: 2024-08-09</w:t>
      </w:r>
    </w:p>
    <w:p>
      <w:pPr>
        <w:pStyle w:val="Normal"/>
        <w:numPr>
          <w:ilvl w:val="0"/>
          <w:numId w:val="0"/>
        </w:numPr>
        <w:spacing w:lineRule="auto" w:line="240" w:before="0" w:after="0"/>
        <w:ind w:left="0" w:hanging="0"/>
        <w:jc w:val="center"/>
        <w:outlineLvl w:val="0"/>
        <w:rPr>
          <w:rFonts w:ascii="Arial Narrow" w:hAnsi="Arial Narrow" w:cs="Arial"/>
          <w:b/>
          <w:b/>
          <w:bCs/>
        </w:rPr>
      </w:pPr>
      <w:r>
        <w:rPr>
          <w:rFonts w:cs="Arial" w:ascii="Arial Narrow" w:hAnsi="Arial Narrow"/>
          <w:b/>
          <w:bCs/>
        </w:rPr>
        <w:t>AUTO No 5656</w:t>
      </w:r>
    </w:p>
    <w:p>
      <w:pPr>
        <w:pStyle w:val="NoSpacing"/>
        <w:numPr>
          <w:ilvl w:val="0"/>
          <w:numId w:val="0"/>
        </w:numPr>
        <w:ind w:left="0" w:hanging="0"/>
        <w:jc w:val="center"/>
        <w:outlineLvl w:val="0"/>
        <w:rPr>
          <w:rFonts w:ascii="Arial Narrow" w:hAnsi="Arial Narrow" w:cs="Arial"/>
          <w:i/>
          <w:i/>
          <w:iCs/>
          <w:sz w:val="20"/>
          <w:szCs w:val="20"/>
        </w:rPr>
      </w:pPr>
      <w:r>
        <w:rPr>
          <w:rFonts w:cs="Arial" w:ascii="Arial Narrow" w:hAnsi="Arial Narrow"/>
          <w:i/>
          <w:iCs/>
          <w:sz w:val="20"/>
          <w:szCs w:val="20"/>
        </w:rPr>
        <w:t>Por la cual se ordena el embargo de bienes por el no pago de obligaciones tributarias”</w:t>
      </w:r>
    </w:p>
    <w:p>
      <w:pPr>
        <w:pStyle w:val="NoSpacing"/>
        <w:numPr>
          <w:ilvl w:val="0"/>
          <w:numId w:val="0"/>
        </w:numPr>
        <w:ind w:left="0" w:hanging="0"/>
        <w:jc w:val="center"/>
        <w:outlineLvl w:val="0"/>
        <w:rPr>
          <w:rFonts w:ascii="Arial Narrow" w:hAnsi="Arial Narrow" w:cs="Arial"/>
          <w:i/>
          <w:i/>
          <w:iCs/>
          <w:sz w:val="20"/>
          <w:szCs w:val="20"/>
        </w:rPr>
      </w:pPr>
      <w:r>
        <w:rPr>
          <w:rFonts w:cs="Arial" w:ascii="Arial Narrow" w:hAnsi="Arial Narrow"/>
          <w:i/>
          <w:iCs/>
          <w:sz w:val="20"/>
          <w:szCs w:val="20"/>
        </w:rPr>
      </w:r>
    </w:p>
    <w:tbl>
      <w:tblPr>
        <w:tblStyle w:val="Tabladecuadrcula1clara"/>
        <w:tblW w:w="334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29"/>
        <w:gridCol w:w="1715"/>
      </w:tblGrid>
      <w:tr>
        <w:trPr>
          <w:cnfStyle w:val="100000000000" w:firstRow="1" w:lastRow="0" w:firstColumn="0" w:lastColumn="0" w:oddVBand="0" w:evenVBand="0" w:oddHBand="0" w:evenHBand="0" w:firstRowFirstColumn="0" w:firstRowLastColumn="0" w:lastRowFirstColumn="0" w:lastRowLastColumn="0"/>
        </w:trPr>
        <w:tc>
          <w:tcPr>
            <w:tcW w:w="1629"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CO" w:eastAsia="en-US" w:bidi="ar-SA"/>
              </w:rPr>
              <w:t>EXPEDIENTE(S)</w:t>
            </w:r>
          </w:p>
        </w:tc>
        <w:tc>
          <w:tcPr>
            <w:tcW w:w="1715" w:type="dxa"/>
            <w:tcBorders>
              <w:bottom w:val="single" w:sz="12" w:space="0" w:color="666666"/>
            </w:tcBorders>
          </w:tcPr>
          <w:p>
            <w:pPr>
              <w:pStyle w:val="NoSpacing"/>
              <w:widowControl w:val="false"/>
              <w:numPr>
                <w:ilvl w:val="0"/>
                <w:numId w:val="0"/>
              </w:numPr>
              <w:suppressAutoHyphens w:val="true"/>
              <w:spacing w:before="0" w:after="0"/>
              <w:ind w:left="0" w:hanging="0"/>
              <w:jc w:val="left"/>
              <w:outlineLvl w:val="0"/>
              <w:cnfStyle w:val="100000000000" w:firstRow="1"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b/>
                <w:bCs/>
                <w:kern w:val="0"/>
                <w:sz w:val="16"/>
                <w:szCs w:val="16"/>
                <w:lang w:val="es-CO" w:eastAsia="en-US" w:bidi="ar-SA"/>
              </w:rPr>
              <w:t>446</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CO" w:eastAsia="en-US" w:bidi="ar-SA"/>
              </w:rPr>
              <w:t>AÑO(S) GRAVABLE(S)</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2016</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MX" w:eastAsia="en-US" w:bidi="ar-SA"/>
              </w:rPr>
              <w:t>DEUDOR</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BEYER NESTOR BERNAL COCINERO</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MX" w:eastAsia="en-US" w:bidi="ar-SA"/>
              </w:rPr>
              <w:t>CC o NIT</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4295462</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IMPUESTO</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Times New Roman" w:ascii="Arial Narrow" w:hAnsi="Arial Narrow"/>
                <w:kern w:val="0"/>
                <w:sz w:val="16"/>
                <w:szCs w:val="16"/>
                <w:lang w:val="es-CO" w:eastAsia="en-US" w:bidi="ar-SA"/>
              </w:rPr>
              <w:t>PREDIAL UNIFICADO</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DIRECCIÓN</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LO 9 VDA IGUAMENA AGUAZUL - CASANARE</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 xml:space="preserve">CÓDIGO PREDIAL </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Times New Roman" w:ascii="Arial Narrow" w:hAnsi="Arial Narrow"/>
                <w:kern w:val="0"/>
                <w:sz w:val="16"/>
                <w:szCs w:val="16"/>
                <w:lang w:val="es-CO" w:eastAsia="en-US" w:bidi="ar-SA"/>
              </w:rPr>
              <w:t>000000010699000</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CIUDAD</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AGUAZUL - CASANARE</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DEPARTAMENTO</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CASANARE</w:t>
            </w:r>
          </w:p>
        </w:tc>
      </w:tr>
    </w:tbl>
    <w:p>
      <w:pPr>
        <w:pStyle w:val="NoSpacing"/>
        <w:numPr>
          <w:ilvl w:val="0"/>
          <w:numId w:val="0"/>
        </w:numPr>
        <w:ind w:left="0" w:hanging="0"/>
        <w:outlineLvl w:val="0"/>
        <w:rPr>
          <w:rFonts w:ascii="Arial Narrow" w:hAnsi="Arial Narrow" w:cs="Arial"/>
          <w:sz w:val="20"/>
          <w:szCs w:val="20"/>
        </w:rPr>
      </w:pPr>
      <w:r>
        <w:rPr>
          <w:rFonts w:cs="Arial" w:ascii="Arial Narrow" w:hAnsi="Arial Narrow"/>
          <w:sz w:val="20"/>
          <w:szCs w:val="20"/>
        </w:rPr>
      </w:r>
    </w:p>
    <w:p>
      <w:pPr>
        <w:pStyle w:val="Normal"/>
        <w:jc w:val="both"/>
        <w:rPr>
          <w:rFonts w:ascii="Arial Narrow" w:hAnsi="Arial Narrow" w:cs="Arial"/>
        </w:rPr>
      </w:pPr>
      <w:r>
        <w:rPr>
          <w:rFonts w:cs="Arial" w:ascii="Arial Narrow" w:hAnsi="Arial Narrow"/>
        </w:rPr>
        <w:t>La Secretaria de Hacienda de la Alcaldía Municipal de Aguazul (Casanare), en uso de sus atribuciones legales, y en especial las conferidas en los artículos 486 y 498 del Acuerdo No. 020 del 21 de diciembre de 2016, concordantes con los artículos 837, y subsiguientes del Estatuto Tributario Nacional, y demás normas vigentes sobre la materia y,</w:t>
      </w:r>
    </w:p>
    <w:p>
      <w:pPr>
        <w:pStyle w:val="NoSpacing"/>
        <w:numPr>
          <w:ilvl w:val="0"/>
          <w:numId w:val="0"/>
        </w:numPr>
        <w:ind w:left="0" w:hanging="0"/>
        <w:jc w:val="center"/>
        <w:outlineLvl w:val="0"/>
        <w:rPr>
          <w:rFonts w:ascii="Arial Narrow" w:hAnsi="Arial Narrow" w:cs="Arial"/>
          <w:b/>
          <w:b/>
          <w:sz w:val="20"/>
          <w:szCs w:val="20"/>
        </w:rPr>
      </w:pPr>
      <w:r>
        <w:rPr>
          <w:rFonts w:cs="Arial" w:ascii="Arial Narrow" w:hAnsi="Arial Narrow"/>
          <w:b/>
          <w:sz w:val="20"/>
          <w:szCs w:val="20"/>
        </w:rPr>
        <w:t xml:space="preserve">CONSIDERANDO </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 xml:space="preserve">1º.- </w:t>
      </w:r>
      <w:r>
        <w:rPr>
          <w:rFonts w:cs="Arial" w:ascii="Arial Narrow" w:hAnsi="Arial Narrow"/>
          <w:bCs/>
          <w:sz w:val="20"/>
          <w:szCs w:val="20"/>
          <w:shd w:fill="FFFFFF" w:val="clear"/>
        </w:rPr>
        <w:t>Que los actos administrativos que se ejecutan</w:t>
      </w:r>
      <w:r>
        <w:rPr>
          <w:rFonts w:cs="Arial" w:ascii="Arial Narrow" w:hAnsi="Arial Narrow"/>
          <w:bCs/>
          <w:sz w:val="20"/>
          <w:szCs w:val="20"/>
        </w:rPr>
        <w:t xml:space="preserve"> en el presente proceso tienen la calidad de títulos ejecutivos, según lo establecido en el artículo 487 del Acuerdo 020 de 2016, en concordancia con lo dispuesto en el artículo 828 del estatuto tributario nacional, como se relacionan a continuación:</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tbl>
      <w:tblPr>
        <w:tblStyle w:val="Tabladecuadrcula1clara"/>
        <w:tblW w:w="397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404"/>
        <w:gridCol w:w="2566"/>
      </w:tblGrid>
      <w:tr>
        <w:trPr>
          <w:trHeight w:val="248" w:hRule="atLeast"/>
          <w:cnfStyle w:val="100000000000" w:firstRow="1" w:lastRow="0" w:firstColumn="0" w:lastColumn="0" w:oddVBand="0" w:evenVBand="0" w:oddHBand="0" w:evenHBand="0" w:firstRowFirstColumn="0" w:firstRowLastColumn="0" w:lastRowFirstColumn="0" w:lastRowLastColumn="0"/>
        </w:trPr>
        <w:tc>
          <w:tcPr>
            <w:tcW w:w="1404"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ascii="Arial Narrow" w:hAnsi="Arial Narrow"/>
                <w:b w:val="false"/>
                <w:bCs/>
                <w:kern w:val="0"/>
                <w:sz w:val="16"/>
                <w:szCs w:val="16"/>
                <w:lang w:val="es-CO" w:eastAsia="en-US" w:bidi="ar-SA"/>
              </w:rPr>
              <w:t>Contribuyente (s)</w:t>
            </w:r>
          </w:p>
        </w:tc>
        <w:tc>
          <w:tcPr>
            <w:tcW w:w="2566" w:type="dxa"/>
            <w:tcBorders>
              <w:bottom w:val="single" w:sz="12" w:space="0" w:color="666666"/>
            </w:tcBorders>
          </w:tcPr>
          <w:p>
            <w:pPr>
              <w:pStyle w:val="Normal"/>
              <w:widowControl w:val="false"/>
              <w:suppressAutoHyphens w:val="true"/>
              <w:spacing w:lineRule="auto" w:line="240"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sz w:val="16"/>
                <w:szCs w:val="16"/>
              </w:rPr>
            </w:pPr>
            <w:r>
              <w:rPr>
                <w:rFonts w:cs="Arial" w:ascii="Arial Narrow" w:hAnsi="Arial Narrow"/>
                <w:b/>
                <w:bCs/>
                <w:kern w:val="0"/>
                <w:sz w:val="16"/>
                <w:szCs w:val="16"/>
                <w:lang w:val="es-CO" w:eastAsia="en-US" w:bidi="ar-SA"/>
              </w:rPr>
              <w:t>BEYER NESTOR BERNAL COCINERO</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Liquidación Oficial</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No. 2021-606</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Fecha Del Acto</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2021-04-23</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Fecha De Ejecutoria</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2022-02-08</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Vigencias Fiscales</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hAnsi="Arial Narrow"/>
                <w:kern w:val="0"/>
                <w:sz w:val="16"/>
                <w:szCs w:val="16"/>
                <w:lang w:val="es-CO" w:eastAsia="en-US" w:bidi="ar-SA"/>
              </w:rPr>
              <w:t>2016</w:t>
            </w:r>
          </w:p>
        </w:tc>
      </w:tr>
    </w:tbl>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2º.- Que de conformidad con lo dispuesto en los artículos 498 del Acuerdo Municipal 020 de fecha 21 de diciembre de 2016, en concordancia con lo establecido en el artículo 837 del Estatuto Tributario Nacional, es procedente decretar medidas cautelares sobre los bienes del deudor, previa o simultáneamente a la expedición del mandamiento de pago.</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Por lo anteriormente expuesto, la suscrita Secretaria de Hacienda,</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center"/>
        <w:outlineLvl w:val="0"/>
        <w:rPr>
          <w:rFonts w:ascii="Arial Narrow" w:hAnsi="Arial Narrow" w:cs="Arial"/>
          <w:b/>
          <w:b/>
          <w:sz w:val="20"/>
          <w:szCs w:val="20"/>
        </w:rPr>
      </w:pPr>
      <w:r>
        <w:rPr>
          <w:rFonts w:cs="Arial" w:ascii="Arial Narrow" w:hAnsi="Arial Narrow"/>
          <w:b/>
          <w:sz w:val="20"/>
          <w:szCs w:val="20"/>
        </w:rPr>
        <w:t>RESUELVE</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Primero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de los siguientes bienes inmuebles:</w:t>
      </w:r>
    </w:p>
    <w:p>
      <w:pPr>
        <w:pStyle w:val="NoSpacing"/>
        <w:ind w:left="720" w:hanging="0"/>
        <w:jc w:val="both"/>
        <w:rPr>
          <w:rFonts w:ascii="Arial Narrow" w:hAnsi="Arial Narrow" w:cs="Arial"/>
          <w:sz w:val="20"/>
          <w:szCs w:val="20"/>
        </w:rPr>
      </w:pPr>
      <w:r>
        <w:rPr>
          <w:rFonts w:cs="Arial" w:ascii="Arial Narrow" w:hAnsi="Arial Narrow"/>
          <w:sz w:val="20"/>
          <w:szCs w:val="20"/>
        </w:rPr>
      </w:r>
    </w:p>
    <w:tbl>
      <w:tblPr>
        <w:tblStyle w:val="Tabladecuadrcula1clara"/>
        <w:tblW w:w="289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981"/>
        <w:gridCol w:w="1913"/>
      </w:tblGrid>
      <w:tr>
        <w:trPr>
          <w:cnfStyle w:val="100000000000" w:firstRow="1" w:lastRow="0" w:firstColumn="0" w:lastColumn="0" w:oddVBand="0" w:evenVBand="0" w:oddHBand="0" w:evenHBand="0" w:firstRowFirstColumn="0" w:firstRowLastColumn="0" w:lastRowFirstColumn="0" w:lastRowLastColumn="0"/>
        </w:trPr>
        <w:tc>
          <w:tcPr>
            <w:tcW w:w="981"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val="false"/>
              <w:suppressAutoHyphens w:val="true"/>
              <w:spacing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Propietario</w:t>
            </w:r>
          </w:p>
        </w:tc>
        <w:tc>
          <w:tcPr>
            <w:tcW w:w="1913" w:type="dxa"/>
            <w:tcBorders>
              <w:bottom w:val="single" w:sz="12" w:space="0" w:color="666666"/>
            </w:tcBorders>
          </w:tcPr>
          <w:p>
            <w:pPr>
              <w:pStyle w:val="NoSpacing"/>
              <w:widowControl w:val="false"/>
              <w:suppressAutoHyphens w:val="true"/>
              <w:spacing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b/>
                <w:bCs/>
                <w:kern w:val="0"/>
                <w:sz w:val="16"/>
                <w:szCs w:val="16"/>
                <w:lang w:val="es-CO" w:eastAsia="en-US" w:bidi="ar-SA"/>
              </w:rPr>
              <w:t>BEYER NESTOR BERNAL COCINERO</w:t>
            </w:r>
          </w:p>
        </w:tc>
      </w:tr>
      <w:tr>
        <w:trPr/>
        <w:tc>
          <w:tcPr>
            <w:tcW w:w="981"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suppressAutoHyphens w:val="true"/>
              <w:spacing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Identificación</w:t>
            </w:r>
          </w:p>
        </w:tc>
        <w:tc>
          <w:tcPr>
            <w:tcW w:w="1913" w:type="dxa"/>
            <w:tcBorders/>
          </w:tcPr>
          <w:p>
            <w:pPr>
              <w:pStyle w:val="NoSpacing"/>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4295462</w:t>
            </w:r>
          </w:p>
        </w:tc>
      </w:tr>
    </w:tbl>
    <w:p>
      <w:pPr>
        <w:pStyle w:val="NoSpacing"/>
        <w:jc w:val="both"/>
        <w:rPr>
          <w:rFonts w:ascii="Arial Narrow" w:hAnsi="Arial Narrow" w:cs="Arial"/>
          <w:sz w:val="20"/>
          <w:szCs w:val="20"/>
        </w:rPr>
      </w:pPr>
      <w:r>
        <w:rPr>
          <w:rFonts w:cs="Arial" w:ascii="Arial Narrow" w:hAnsi="Arial Narrow"/>
          <w:sz w:val="20"/>
          <w:szCs w:val="20"/>
        </w:rPr>
      </w:r>
    </w:p>
    <w:tbl>
      <w:tblPr>
        <w:tblW w:w="3200" w:type="pct"/>
        <w:jc w:val="center"/>
        <w:tblInd w:w="0" w:type="dxa"/>
        <w:tblLayout w:type="fixed"/>
        <w:tblCellMar>
          <w:top w:w="75" w:type="dxa"/>
          <w:left w:w="75" w:type="dxa"/>
          <w:bottom w:w="75" w:type="dxa"/>
          <w:right w:w="75" w:type="dxa"/>
        </w:tblCellMar>
        <w:tblLook w:val="04a0" w:noHBand="0" w:noVBand="1" w:firstColumn="1" w:lastRow="0" w:lastColumn="0" w:firstRow="1"/>
      </w:tblPr>
      <w:tblGrid>
        <w:gridCol w:w="3323"/>
        <w:gridCol w:w="2332"/>
      </w:tblGrid>
      <w:tr>
        <w:trPr>
          <w:tblHeader w:val="true"/>
          <w:trHeight w:val="20" w:hRule="atLeast"/>
        </w:trPr>
        <w:tc>
          <w:tcPr>
            <w:tcW w:w="3323" w:type="dxa"/>
            <w:tcBorders>
              <w:left w:val="single" w:sz="6" w:space="0" w:color="DDDDDD"/>
              <w:bottom w:val="single" w:sz="12" w:space="0" w:color="DDDDDD"/>
              <w:right w:val="single" w:sz="6" w:space="0" w:color="DDDDDD"/>
            </w:tcBorders>
            <w:shd w:color="auto" w:fill="BFBFBF" w:themeFill="background1" w:themeFillShade="bf"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Número de matrícula inmobiliaria</w:t>
            </w:r>
          </w:p>
        </w:tc>
        <w:tc>
          <w:tcPr>
            <w:tcW w:w="2332" w:type="dxa"/>
            <w:tcBorders>
              <w:left w:val="single" w:sz="6" w:space="0" w:color="DDDDDD"/>
              <w:bottom w:val="single" w:sz="12" w:space="0" w:color="DDDDDD"/>
              <w:right w:val="single" w:sz="6" w:space="0" w:color="DDDDDD"/>
            </w:tcBorders>
            <w:shd w:color="auto" w:fill="BFBFBF" w:themeFill="background1" w:themeFillShade="bf"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Oficina de Registro</w:t>
            </w:r>
          </w:p>
        </w:tc>
      </w:tr>
      <w:tr>
        <w:trPr>
          <w:trHeight w:val="20" w:hRule="atLeast"/>
        </w:trPr>
        <w:tc>
          <w:tcPr>
            <w:tcW w:w="3323"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4455</w:t>
            </w:r>
          </w:p>
        </w:tc>
        <w:tc>
          <w:tcPr>
            <w:tcW w:w="2332"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BOGOTÁ, D.C.</w:t>
            </w:r>
          </w:p>
        </w:tc>
      </w:tr>
    </w:tbl>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sz w:val="20"/>
          <w:szCs w:val="20"/>
        </w:rPr>
        <w:t>En caso de tratarse de una copropiedad, propiedad mancomunada o cualquier otra clase de titulación, en la que se compartan derechos de propiedad entre varias personas, respecto del inmueble antes identificado, la medida se limitara en la cuota y porcentaje correspondiente al citado ejecutado(a).</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Segundo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y retención de las sumas de dinero que el deudor posea en cuentas de ahorros o corrientes, o a cualquier otro título, certificados de depósitos o títulos representativos de valores en entidades financieras y/o de los derechos o créditos a nivel nacional, que se encuentren a nombre de los deudores referidos. Tratándose de cuentas de ahorro, el embargo recaerá sobre los saldos que excedan la cuantía inmebargable.</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rPr>
        <w:t>Parágrafo Primero</w:t>
      </w:r>
      <w:r>
        <w:rPr>
          <w:rFonts w:cs="Arial" w:ascii="Arial Narrow" w:hAnsi="Arial Narrow"/>
          <w:sz w:val="20"/>
          <w:szCs w:val="20"/>
        </w:rPr>
        <w:t xml:space="preserve">: </w:t>
      </w:r>
      <w:r>
        <w:rPr>
          <w:rFonts w:cs="Arial" w:ascii="Arial Narrow" w:hAnsi="Arial Narrow"/>
          <w:sz w:val="20"/>
          <w:szCs w:val="20"/>
          <w:shd w:fill="FFFFFF" w:val="clear"/>
        </w:rPr>
        <w:t xml:space="preserve">Los dineros retenidos deberán ser consignados por las entidades financieras a la Cuenta de Depósito Judiciales No </w:t>
      </w:r>
      <w:r>
        <w:rPr>
          <w:rFonts w:cs="Arial" w:ascii="Arial Narrow" w:hAnsi="Arial Narrow"/>
          <w:b/>
          <w:sz w:val="20"/>
          <w:szCs w:val="20"/>
          <w:shd w:fill="FFFFFF" w:val="clear"/>
        </w:rPr>
        <w:t>850109195002</w:t>
      </w:r>
      <w:r>
        <w:rPr>
          <w:rFonts w:cs="Arial" w:ascii="Arial Narrow" w:hAnsi="Arial Narrow"/>
          <w:bCs/>
          <w:sz w:val="20"/>
          <w:szCs w:val="20"/>
          <w:shd w:fill="FFFFFF" w:val="clear"/>
        </w:rPr>
        <w:t>, cuyo titular es el municipio de Aguazul</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Tercero</w:t>
      </w:r>
      <w:r>
        <w:rPr>
          <w:rFonts w:cs="Arial" w:ascii="Arial Narrow" w:hAnsi="Arial Narrow"/>
          <w:b/>
          <w:sz w:val="20"/>
          <w:szCs w:val="20"/>
        </w:rPr>
        <w:t>:</w:t>
      </w:r>
      <w:r>
        <w:rPr>
          <w:rFonts w:cs="Arial" w:ascii="Arial Narrow" w:hAnsi="Arial Narrow"/>
          <w:sz w:val="20"/>
          <w:szCs w:val="20"/>
        </w:rPr>
        <w:t xml:space="preserve"> </w:t>
      </w:r>
      <w:r>
        <w:rPr>
          <w:rFonts w:cs="Arial" w:ascii="Arial Narrow" w:hAnsi="Arial Narrow"/>
          <w:b/>
          <w:bCs/>
          <w:sz w:val="20"/>
          <w:szCs w:val="20"/>
        </w:rPr>
        <w:t xml:space="preserve">Limitar </w:t>
      </w:r>
      <w:r>
        <w:rPr>
          <w:rFonts w:cs="Arial" w:ascii="Arial Narrow" w:hAnsi="Arial Narrow"/>
          <w:sz w:val="20"/>
          <w:szCs w:val="20"/>
        </w:rPr>
        <w:t>las medidas cautelares decretadas a la suma de Ocho Mil Trescientos Cincuenta y Dos Pesos (8.352,00), de conformidad con lo establecido en el artículo 499 del Acuerdo Municipal 020 de fecha 21 de diciembre de 2016, en concordancia con el artículo 838 del Estatuto Tributario Nacional.</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Cuarto</w:t>
      </w:r>
      <w:r>
        <w:rPr>
          <w:rFonts w:cs="Arial" w:ascii="Arial Narrow" w:hAnsi="Arial Narrow"/>
          <w:b/>
          <w:sz w:val="20"/>
          <w:szCs w:val="20"/>
        </w:rPr>
        <w:t xml:space="preserve">: </w:t>
      </w:r>
      <w:r>
        <w:rPr>
          <w:rFonts w:cs="Arial" w:ascii="Arial Narrow" w:hAnsi="Arial Narrow"/>
          <w:b/>
          <w:sz w:val="20"/>
          <w:szCs w:val="20"/>
          <w:shd w:fill="FFFFFF" w:val="clear"/>
        </w:rPr>
        <w:t xml:space="preserve">Librar </w:t>
      </w:r>
      <w:r>
        <w:rPr>
          <w:rFonts w:cs="Arial" w:ascii="Arial Narrow" w:hAnsi="Arial Narrow"/>
          <w:bCs/>
          <w:sz w:val="20"/>
          <w:szCs w:val="20"/>
          <w:shd w:fill="FFFFFF" w:val="clear"/>
        </w:rPr>
        <w:t xml:space="preserve">los oficios correspondientes y </w:t>
      </w:r>
      <w:r>
        <w:rPr>
          <w:rFonts w:cs="Arial" w:ascii="Arial Narrow" w:hAnsi="Arial Narrow"/>
          <w:b/>
          <w:sz w:val="20"/>
          <w:szCs w:val="20"/>
          <w:shd w:fill="FFFFFF" w:val="clear"/>
        </w:rPr>
        <w:t xml:space="preserve">comunicar </w:t>
      </w:r>
      <w:r>
        <w:rPr>
          <w:rFonts w:cs="Arial" w:ascii="Arial Narrow" w:hAnsi="Arial Narrow"/>
          <w:bCs/>
          <w:sz w:val="20"/>
          <w:szCs w:val="20"/>
          <w:shd w:fill="FFFFFF" w:val="clear"/>
        </w:rPr>
        <w:t>a las</w:t>
      </w:r>
      <w:r>
        <w:rPr>
          <w:rFonts w:cs="Arial" w:ascii="Arial Narrow" w:hAnsi="Arial Narrow"/>
          <w:sz w:val="20"/>
          <w:szCs w:val="20"/>
          <w:shd w:fill="FFFFFF" w:val="clear"/>
        </w:rPr>
        <w:t xml:space="preserve"> entidades competentes, </w:t>
      </w:r>
      <w:r>
        <w:rPr>
          <w:rFonts w:cs="Arial" w:ascii="Arial Narrow" w:hAnsi="Arial Narrow"/>
          <w:bCs/>
          <w:sz w:val="20"/>
          <w:szCs w:val="20"/>
          <w:shd w:fill="FFFFFF" w:val="clear"/>
        </w:rPr>
        <w:t>para efectos de materializar el registro de las medidas preventivas decretadas en el presente acto administrativo</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sz w:val="20"/>
          <w:szCs w:val="20"/>
        </w:rPr>
      </w:r>
    </w:p>
    <w:p>
      <w:pPr>
        <w:pStyle w:val="Normal"/>
        <w:tabs>
          <w:tab w:val="clear" w:pos="708"/>
          <w:tab w:val="left" w:pos="2340" w:leader="none"/>
        </w:tabs>
        <w:jc w:val="both"/>
        <w:rPr>
          <w:rFonts w:ascii="Arial Narrow" w:hAnsi="Arial Narrow" w:cs="Arial"/>
        </w:rPr>
      </w:pPr>
      <w:r>
        <w:rPr>
          <w:rFonts w:cs="Arial" w:ascii="Arial Narrow" w:hAnsi="Arial Narrow"/>
        </w:rPr>
      </w:r>
    </w:p>
    <w:p>
      <w:pPr>
        <w:pStyle w:val="Normal"/>
        <w:tabs>
          <w:tab w:val="clear" w:pos="708"/>
          <w:tab w:val="left" w:pos="1678" w:leader="none"/>
        </w:tabs>
        <w:jc w:val="center"/>
        <w:rPr>
          <w:rFonts w:ascii="Arial Narrow" w:hAnsi="Arial Narrow" w:cs="Arial"/>
          <w:b/>
          <w:b/>
        </w:rPr>
      </w:pPr>
      <w:r>
        <w:rPr>
          <w:rFonts w:cs="Arial" w:ascii="Arial Narrow" w:hAnsi="Arial Narrow"/>
          <w:b/>
        </w:rPr>
        <w:t>COMUNÍQUESE Y CÚMPLASE,</w:t>
      </w:r>
    </w:p>
    <w:p>
      <w:pPr>
        <w:pStyle w:val="Normal"/>
        <w:numPr>
          <w:ilvl w:val="0"/>
          <w:numId w:val="0"/>
        </w:numPr>
        <w:spacing w:lineRule="auto" w:line="240" w:before="0" w:after="0"/>
        <w:ind w:left="0" w:hanging="0"/>
        <w:jc w:val="both"/>
        <w:outlineLvl w:val="0"/>
        <w:rPr/>
      </w:pPr>
      <w:r>
        <w:rPr/>
      </w:r>
    </w:p>
    <w:p>
      <w:pPr>
        <w:pStyle w:val="Normal"/>
        <w:spacing w:lineRule="auto" w:line="240" w:before="0" w:after="0"/>
        <w:jc w:val="both"/>
        <w:rPr>
          <w:rFonts w:ascii="Arial Narrow" w:hAnsi="Arial Narrow" w:eastAsia="Times New Roman" w:cs="Arial"/>
          <w:b/>
          <w:b/>
          <w:lang w:eastAsia="es-CO"/>
        </w:rPr>
      </w:pPr>
      <w:r>
        <w:rPr>
          <w:rFonts w:eastAsia="Times New Roman" w:cs="Arial" w:ascii="Arial Narrow" w:hAnsi="Arial Narrow"/>
          <w:b/>
          <w:lang w:eastAsia="es-CO"/>
        </w:rPr>
      </w:r>
    </w:p>
    <w:p>
      <w:pPr>
        <w:pStyle w:val="Normal"/>
        <w:spacing w:lineRule="auto" w:line="240" w:before="0" w:after="0"/>
        <w:jc w:val="both"/>
        <w:rPr>
          <w:rFonts w:ascii="Arial Narrow" w:hAnsi="Arial Narrow" w:eastAsia="Times New Roman" w:cs="Arial"/>
          <w:b/>
          <w:b/>
          <w:lang w:eastAsia="es-CO"/>
        </w:rPr>
      </w:pPr>
      <w:r>
        <w:rPr>
          <w:rFonts w:eastAsia="Times New Roman" w:cs="Arial" w:ascii="Arial Narrow" w:hAnsi="Arial Narrow"/>
          <w:b/>
          <w:lang w:eastAsia="es-CO"/>
        </w:rPr>
      </w:r>
    </w:p>
    <w:p>
      <w:pPr>
        <w:pStyle w:val="Normal"/>
        <w:spacing w:lineRule="auto" w:line="240" w:before="0" w:after="0"/>
        <w:jc w:val="center"/>
        <w:rPr>
          <w:rFonts w:ascii="Arial Narrow" w:hAnsi="Arial Narrow" w:eastAsia="Times New Roman" w:cs="Arial"/>
          <w:b/>
          <w:b/>
          <w:lang w:eastAsia="es-CO"/>
        </w:rPr>
      </w:pPr>
      <w:r>
        <w:rPr>
          <w:rFonts w:eastAsia="Times New Roman" w:cs="Arial" w:ascii="Arial Narrow" w:hAnsi="Arial Narrow"/>
          <w:b/>
          <w:lang w:eastAsia="es-CO"/>
        </w:rPr>
        <w:t xml:space="preserve">YENNY CAROLINA CÁRDENAS GARCÍA </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t>Secretaria de despacho</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t>Secretaría de Hacienda</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bookmarkStart w:id="0" w:name="_GoBack"/>
      <w:bookmarkStart w:id="1" w:name="_GoBack"/>
      <w:bookmarkEnd w:id="1"/>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 xml:space="preserve">Proyectó y aprobó: </w:t>
      </w:r>
      <w:r>
        <w:rPr>
          <w:rFonts w:cs="Arial" w:ascii="Arial Narrow" w:hAnsi="Arial Narrow"/>
          <w:sz w:val="14"/>
          <w:szCs w:val="14"/>
        </w:rPr>
        <w:t>NURY ESMERALDA RODRIGUEZ BUITRAGO</w:t>
        <w:tab/>
        <w:tab/>
        <w:t xml:space="preserve">                                    </w:t>
      </w:r>
      <w:r>
        <w:rPr>
          <w:rFonts w:cs="Arial" w:ascii="Arial Narrow" w:hAnsi="Arial Narrow"/>
          <w:b/>
          <w:sz w:val="14"/>
          <w:szCs w:val="14"/>
        </w:rPr>
        <w:t xml:space="preserve">Revisión jurídica: SISTEMA SISTEMA                      </w:t>
      </w:r>
      <w:r>
        <w:rPr>
          <w:rFonts w:cs="Arial" w:ascii="Arial Narrow" w:hAnsi="Arial Narrow"/>
          <w:sz w:val="14"/>
          <w:szCs w:val="14"/>
        </w:rPr>
        <w:t xml:space="preserve">Profesional Universitario de Impuestos     </w:t>
        <w:tab/>
        <w:t xml:space="preserve">                                                                                </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tabs>
          <w:tab w:val="clear" w:pos="708"/>
          <w:tab w:val="left" w:pos="245" w:leader="none"/>
        </w:tabs>
        <w:rPr>
          <w:rFonts w:ascii="Arial Narrow" w:hAnsi="Arial Narrow" w:cs="Arial"/>
          <w:i/>
          <w:i/>
          <w:sz w:val="14"/>
          <w:szCs w:val="14"/>
        </w:rPr>
      </w:pPr>
      <w:r>
        <w:rPr/>
      </w:r>
    </w:p>
    <w:sectPr>
      <w:headerReference w:type="default" r:id="rId2"/>
      <w:footerReference w:type="default" r:id="rId3"/>
      <w:type w:val="nextPage"/>
      <w:pgSz w:w="12240" w:h="15840"/>
      <w:pgMar w:left="1701" w:right="1701" w:gutter="0" w:header="113" w:top="1417" w:footer="57" w:bottom="1416"/>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0" distR="0" simplePos="0" locked="0" layoutInCell="0" allowOverlap="1" relativeHeight="5">
          <wp:simplePos x="0" y="0"/>
          <wp:positionH relativeFrom="column">
            <wp:posOffset>4940300</wp:posOffset>
          </wp:positionH>
          <wp:positionV relativeFrom="paragraph">
            <wp:posOffset>4445</wp:posOffset>
          </wp:positionV>
          <wp:extent cx="866775" cy="569595"/>
          <wp:effectExtent l="0" t="0" r="0" b="0"/>
          <wp:wrapSquare wrapText="left"/>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rcRect l="80267" t="0" r="0" b="0"/>
                  <a:stretch>
                    <a:fillRect/>
                  </a:stretch>
                </pic:blipFill>
                <pic:spPr bwMode="auto">
                  <a:xfrm>
                    <a:off x="0" y="0"/>
                    <a:ext cx="866775" cy="569595"/>
                  </a:xfrm>
                  <a:prstGeom prst="rect">
                    <a:avLst/>
                  </a:prstGeom>
                </pic:spPr>
              </pic:pic>
            </a:graphicData>
          </a:graphic>
        </wp:anchor>
      </w:drawing>
      <w:drawing>
        <wp:inline distT="0" distB="0" distL="0" distR="0">
          <wp:extent cx="4794250" cy="571500"/>
          <wp:effectExtent l="0" t="0" r="0" b="0"/>
          <wp:docPr id="2"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rPr>
          </w:pPr>
          <w:r>
            <w:rPr>
              <w:rFonts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kern w:val="0"/>
              <w:sz w:val="20"/>
              <w:szCs w:val="20"/>
              <w:lang w:val="en-US" w:eastAsia="en-US" w:bidi="ar-SA"/>
            </w:rPr>
          </w:pPr>
          <w:r>
            <w:rPr>
              <w:rFonts w:ascii="AvenirNext LT Pro Regular" w:hAnsi="AvenirNext LT Pro Regular"/>
              <w:kern w:val="0"/>
              <w:sz w:val="20"/>
              <w:szCs w:val="20"/>
              <w:lang w:val="en-US" w:eastAsia="en-US" w:bidi="ar-SA"/>
            </w:rPr>
            <w:t/>
            <w:pict>
              <v:shape type="#_x0000_t75" style="width:125px;height:56.67701863354px" stroked="f">
                <v:imagedata r:id="rId1" o:title=""/>
              </v:shape>
            </w:pict>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kern w:val="0"/>
              <w:sz w:val="20"/>
              <w:szCs w:val="20"/>
              <w:lang w:val="en-US" w:eastAsia="en-US" w:bidi="ar-SA"/>
            </w:rPr>
          </w:pPr>
          <w:r>
            <w:rPr>
              <w:rFonts w:ascii="AvenirNext LT Pro Regular" w:hAnsi="AvenirNext LT Pro Regular"/>
              <w:kern w:val="0"/>
              <w:sz w:val="20"/>
              <w:szCs w:val="20"/>
              <w:lang w:val="en-US" w:eastAsia="en-US" w:bidi="ar-SA"/>
            </w:rPr>
            <w:t/>
            <w:pict>
              <v:shape type="#_x0000_t75" style="width:100px;height:84.126984126984px" stroked="f">
                <v:imagedata r:id="rId2" o:title=""/>
              </v:shape>
            </w:pict>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rPr>
          </w:pPr>
          <w:r>
            <w:rPr>
              <w:rFonts w:cs="Arial" w:ascii="Arial" w:hAnsi="Arial"/>
              <w:kern w:val="0"/>
              <w:sz w:val="20"/>
              <w:szCs w:val="20"/>
              <w:lang w:val="en-US" w:eastAsia="en-US" w:bidi="ar-SA"/>
            </w:rPr>
            <w:t xml:space="preserve">Código: </w:t>
          </w:r>
          <w:r>
            <w:rPr>
              <w:rFonts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rPr>
          </w:pPr>
          <w:r>
            <w:rPr>
              <w:rFonts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lang w:val="es-ES" w:eastAsia="es-ES"/>
            </w:rPr>
          </w:pPr>
          <w:r>
            <w:rPr>
              <w:rFonts w:cs="Arial" w:ascii="Arial" w:hAnsi="Arial"/>
              <w:kern w:val="0"/>
              <w:sz w:val="20"/>
              <w:szCs w:val="20"/>
              <w:lang w:val="es-ES" w:eastAsia="es-ES" w:bidi="ar-SA"/>
            </w:rPr>
            <w:t>Vigente: Resolución No. 145 del 18 de abril del 2023</w:t>
          </w:r>
        </w:p>
      </w:tc>
    </w:tr>
  </w:tbl>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e320b"/>
    <w:pPr>
      <w:widowControl/>
      <w:suppressAutoHyphens w:val="tru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tulo1">
    <w:name w:val="Heading 1"/>
    <w:basedOn w:val="Normal"/>
    <w:next w:val="Normal"/>
    <w:link w:val="Ttulo1Car"/>
    <w:qFormat/>
    <w:rsid w:val="00ae320b"/>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ae320b"/>
    <w:rPr>
      <w:rFonts w:ascii="Calibri" w:hAnsi="Calibri" w:eastAsia="Calibri" w:cs="Calibri"/>
    </w:rPr>
  </w:style>
  <w:style w:type="character" w:styleId="EncabezadoCar" w:customStyle="1">
    <w:name w:val="Encabezado Car"/>
    <w:basedOn w:val="DefaultParagraphFont"/>
    <w:uiPriority w:val="99"/>
    <w:qFormat/>
    <w:rsid w:val="00ae320b"/>
    <w:rPr>
      <w:rFonts w:ascii="Calibri" w:hAnsi="Calibri" w:eastAsia="Calibri" w:cs="Calibri"/>
    </w:rPr>
  </w:style>
  <w:style w:type="character" w:styleId="PiedepginaCar" w:customStyle="1">
    <w:name w:val="Pie de página Car"/>
    <w:basedOn w:val="DefaultParagraphFont"/>
    <w:uiPriority w:val="99"/>
    <w:qFormat/>
    <w:rsid w:val="00ae320b"/>
    <w:rPr>
      <w:rFonts w:ascii="Calibri" w:hAnsi="Calibri" w:eastAsia="Calibri" w:cs="Calibri"/>
    </w:rPr>
  </w:style>
  <w:style w:type="character" w:styleId="Ttulo1Car" w:customStyle="1">
    <w:name w:val="Título 1 Car"/>
    <w:basedOn w:val="DefaultParagraphFont"/>
    <w:qFormat/>
    <w:rsid w:val="00ae320b"/>
    <w:rPr>
      <w:rFonts w:ascii="Arial" w:hAnsi="Arial" w:eastAsia="Arial Unicode MS" w:cs="Arial"/>
      <w:b/>
      <w:sz w:val="24"/>
      <w:szCs w:val="24"/>
      <w:lang w:val="es-ES_tradnl" w:eastAsia="es-ES"/>
    </w:rPr>
  </w:style>
  <w:style w:type="character" w:styleId="TextodegloboCar" w:customStyle="1">
    <w:name w:val="Texto de globo Car"/>
    <w:basedOn w:val="DefaultParagraphFont"/>
    <w:link w:val="BalloonText"/>
    <w:uiPriority w:val="99"/>
    <w:semiHidden/>
    <w:qFormat/>
    <w:rsid w:val="00ae320b"/>
    <w:rPr>
      <w:rFonts w:ascii="Tahoma" w:hAnsi="Tahoma" w:eastAsia="Calibri" w:cs="Tahoma"/>
      <w:sz w:val="16"/>
      <w:szCs w:val="16"/>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Spacing">
    <w:name w:val="No Spacing"/>
    <w:link w:val="SinespaciadoCar"/>
    <w:uiPriority w:val="1"/>
    <w:qFormat/>
    <w:rsid w:val="00ae320b"/>
    <w:pPr>
      <w:widowControl/>
      <w:suppressAutoHyphens w:val="true"/>
      <w:bidi w:val="0"/>
      <w:spacing w:lineRule="auto" w:line="240"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Cabeceraypie">
    <w:name w:val="Cabecera y pie"/>
    <w:basedOn w:val="Normal"/>
    <w:qFormat/>
    <w:pPr/>
    <w:rPr/>
  </w:style>
  <w:style w:type="paragraph" w:styleId="Cabecera">
    <w:name w:val="Header"/>
    <w:basedOn w:val="Normal"/>
    <w:link w:val="EncabezadoCar"/>
    <w:uiPriority w:val="99"/>
    <w:unhideWhenUsed/>
    <w:rsid w:val="00ae320b"/>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ae320b"/>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ae320b"/>
    <w:pPr>
      <w:spacing w:lineRule="auto" w:line="240" w:before="0" w:after="0"/>
    </w:pPr>
    <w:rPr>
      <w:rFonts w:ascii="Tahoma" w:hAnsi="Tahoma" w:cs="Tahoma"/>
      <w:sz w:val="16"/>
      <w:szCs w:val="16"/>
    </w:rPr>
  </w:style>
  <w:style w:type="paragraph" w:styleId="Contenidodelmarco">
    <w:name w:val="Contenido del marco"/>
    <w:basedOn w:val="Normal"/>
    <w:qFormat/>
    <w:pPr/>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ae320b"/>
    <w:pPr>
      <w:spacing w:after="0" w:line="240" w:lineRule="auto"/>
    </w:pPr>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decuadrcula1clara">
    <w:name w:val="Grid Table 1 Light"/>
    <w:basedOn w:val="Tablanormal"/>
    <w:uiPriority w:val="46"/>
    <w:rsid w:val="0095075f"/>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_rId1_header1.png"/><Relationship Id="rId2" Type="http://schemas.openxmlformats.org/officeDocument/2006/relationships/image" Target="media/image_rId2_header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5AA17-0EE5-4001-BEA0-FEA06ECE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Application>LibreOffice/7.3.7.2$Linux_X86_64 LibreOffice_project/30$Build-2</Application>
  <AppVersion>15.0000</AppVersion>
  <Pages>3</Pages>
  <Words>518</Words>
  <Characters>3366</Characters>
  <CharactersWithSpaces>4006</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2024-05-27T15:06:00Z</dcterms:created>
  <dc:creator>Hacienda Temporal</dc:creator>
  <dc:description/>
  <dc:language>es-CO</dc:language>
  <cp:lastModifiedBy/>
  <cp:lastPrinted>2023-06-09T15:24:00Z</cp:lastPrinted>
  <dcterms:modified xsi:type="dcterms:W3CDTF">2024-07-29T08:16:34Z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file>