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140.33.02.786</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786</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2024-08-24</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1234</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2022, 2023</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POLICARPO GALINDO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1118548845</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070000030003000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K 3 1 163 SAN BENITO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POLICARPO GALINDO</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1118548845</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22222</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2024-08-15</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2022, 2023</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24.800,00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49.000,00</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22222</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2024-08-15</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2022, 2023</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82.600,00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117.700,00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Ciento Sesenta y Seis Mil Setecientos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166.700,00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POLICARPO GALINDO</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1118548845</w:t>
      </w:r>
      <w:r>
        <w:rPr>
          <w:rFonts w:cs="Arial" w:ascii="Arial Narrow" w:hAnsi="Arial Narrow"/>
          <w:sz w:val="20"/>
          <w:szCs w:val="20"/>
          <w:lang w:val="es-ES"/>
        </w:rPr>
        <w:t xml:space="preserve">, por la cuantía de Cuarenta y Nueve Mil Pesos (49.000,00),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pict>
              <v:shape type="#_x0000_t75" style="width:125px;height:56.67701863354px" stroked="f">
                <v:imagedata r:id="rId1" o:title=""/>
              </v:shape>
            </w:pict>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