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140.33.02.7474747</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7474747</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2024-05-02</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2024-996</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2020</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REBECA DIAZ SANCHEZ</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21208063</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PREDIAL UNIFICADO IPU</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010000670006000</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K 17 11 39 BR CENTRO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AGUAZUL</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REBECA DIAZ SANCHEZ</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21208063</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5"/>
        <w:gridCol w:w="1599"/>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5"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9"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44444</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2024-06-01</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2020</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973.700,00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2.130.800,00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2"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Dos Millones Ciento Treinta Mil Ochocientos Pesos</w:t>
            </w:r>
          </w:p>
        </w:tc>
        <w:tc>
          <w:tcPr>
            <w:tcW w:w="1599"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2.130.800,00</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REBECA DIAZ SANCHEZ</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21208063</w:t>
      </w:r>
      <w:r>
        <w:rPr>
          <w:rFonts w:cs="Arial" w:ascii="Arial Narrow" w:hAnsi="Arial Narrow"/>
          <w:sz w:val="20"/>
          <w:szCs w:val="20"/>
          <w:lang w:val="es-ES"/>
        </w:rPr>
        <w:t xml:space="preserve">, por la cuantía de Dos Millones Ciento Treinta Mil Ochocientos Pesos (2.130.800,00),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SISTEMA SISTEMA</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5"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743</Words>
  <Characters>4469</Characters>
  <CharactersWithSpaces>5242</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2024-07-28T16:00:36Z</dcterms:modified>
  <cp:revision>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