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140.33.02. 00001</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2024-07-18</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REBECA DIAZ SANCHEZ</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21208063</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K 17 11 39 BR CENTRO</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Ciudad</w:t>
      </w:r>
      <w:r>
        <w:rPr>
          <w:rFonts w:eastAsia="Arial Narrow" w:cs="Arial Narrow" w:ascii="Arial Narrow" w:hAnsi="Arial Narrow"/>
        </w:rPr>
        <w:t>: AGUAZUL</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2004-0001</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2020</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PREDIAL UNIFICADO (IPU)</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2024-0003</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5"/>
        <w:gridCol w:w="948"/>
        <w:gridCol w:w="2025"/>
        <w:gridCol w:w="1020"/>
        <w:gridCol w:w="1160"/>
        <w:gridCol w:w="745"/>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6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0"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2024-0003</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2024-05-29</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2020</w:t>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973700.00</w:t>
            </w:r>
          </w:p>
        </w:tc>
        <w:tc>
          <w:tcPr>
            <w:tcW w:w="22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2064200.00</w:t>
            </w:r>
          </w:p>
        </w:tc>
      </w:tr>
      <w:tr>
        <w:trPr>
          <w:trHeight w:val="20" w:hRule="atLeast"/>
        </w:trPr>
        <w:tc>
          <w:tcPr>
            <w:tcW w:w="7249"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2064200</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SISTEMA SISTEMA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5034915</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04"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LibreOffice/7.3.7.2$Linux_X86_64 LibreOffice_project/30$Build-2</Application>
  <AppVersion>15.0000</AppVersion>
  <Pages>2</Pages>
  <Words>520</Words>
  <Characters>3165</Characters>
  <CharactersWithSpaces>3782</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2024-07-17T12:23:29Z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