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140.33.02.2024-2024-000003</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2024-05-23</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2024-2024-000003</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9" w:type="dxa"/>
        <w:jc w:val="center"/>
        <w:tblInd w:w="0" w:type="dxa"/>
        <w:tblLayout w:type="fixed"/>
        <w:tblCellMar>
          <w:top w:w="0" w:type="dxa"/>
          <w:left w:w="108" w:type="dxa"/>
          <w:bottom w:w="0" w:type="dxa"/>
          <w:right w:w="108" w:type="dxa"/>
        </w:tblCellMar>
        <w:tblLook w:val="0400"/>
      </w:tblPr>
      <w:tblGrid>
        <w:gridCol w:w="1583"/>
        <w:gridCol w:w="3825"/>
      </w:tblGrid>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CC-2024-000003</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rPr>
              <w:t>JOSE TEODOCIO AGUDELO PATINO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1125007</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IMPUESTO PREDIAL UNIFICADO - IPU</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Código Catastral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070000030002000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2019,2020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K 3 1 143 SAN BENITO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2019,2020, la Secretaría de Hacienda apertura el expediente No. PT-2024-000008, expidiéndose la liquidación oficial No. 2024-0006 de fecha 2024-05-23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JOSE TEODOCIO AGUDELO PATINO</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1125007</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070000030002000, ubicado en la K 3 1 143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liquidación oficial No. 2024-0006 de fecha 2024-05-23, de conformidad con lo dispuesto en el parágrafo del artículo 32 del Acuerdo 020 de 2016, modificado por el artículo primero del Acuerdo 012 del 2017, quedando debidamente ejecutoriada la citada liquidación oficial, el día ${fecha_ejecutoriado}.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impuesto predial unificado, correspondiente a la vigencia  fiscal 2019,2020 del (los) contribuyente(s) JOSE TEODOCIO AGUDELO PATINO identificada (os) con cédula de ciudadanía No 1125007, y por el predio identificado con el código catastral No. 070000030002000, ubicado en la K 3 1 143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CC-2024-000003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8" w:type="dxa"/>
        <w:jc w:val="left"/>
        <w:tblInd w:w="0" w:type="dxa"/>
        <w:tblLayout w:type="fixed"/>
        <w:tblCellMar>
          <w:top w:w="0" w:type="dxa"/>
          <w:left w:w="108" w:type="dxa"/>
          <w:bottom w:w="0" w:type="dxa"/>
          <w:right w:w="108" w:type="dxa"/>
        </w:tblCellMar>
        <w:tblLook w:val="0400"/>
      </w:tblPr>
      <w:tblGrid>
        <w:gridCol w:w="3255"/>
        <w:gridCol w:w="5572"/>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rPr>
              <w:t>JOSE TEODOCIO AGUDELO PATINO</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2024-0006 de fecha 2024-05-23</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2019,2020</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t xml:space="preserve">                                   </w:t>
      </w:r>
      <w:r>
        <w:rPr>
          <w:rFonts w:eastAsia="Arial Narrow" w:cs="Arial Narrow" w:ascii="Arial Narrow" w:hAnsi="Arial Narrow"/>
          <w:sz w:val="14"/>
          <w:szCs w:val="14"/>
        </w:rPr>
        <w:t xml:space="preserve">CPS No. 96/2024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7">
          <wp:simplePos x="0" y="0"/>
          <wp:positionH relativeFrom="column">
            <wp:posOffset>4940300</wp:posOffset>
          </wp:positionH>
          <wp:positionV relativeFrom="paragraph">
            <wp:posOffset>4445</wp:posOffset>
          </wp:positionV>
          <wp:extent cx="1028700" cy="675640"/>
          <wp:effectExtent l="0" t="0" r="0" b="0"/>
          <wp:wrapNone/>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2"/>
                  <a:srcRect l="80237" t="0" r="0" b="0"/>
                  <a:stretch>
                    <a:fillRect/>
                  </a:stretch>
                </pic:blipFill>
                <pic:spPr bwMode="auto">
                  <a:xfrm>
                    <a:off x="0" y="0"/>
                    <a:ext cx="1028700" cy="675640"/>
                  </a:xfrm>
                  <a:prstGeom prst="rect">
                    <a:avLst/>
                  </a:prstGeom>
                </pic:spPr>
              </pic:pic>
            </a:graphicData>
          </a:graphic>
        </wp:anchor>
      </w:drawing>
      <mc:AlternateContent>
        <mc:Choice Requires="wps">
          <w:drawing>
            <wp:anchor behindDoc="1" distT="0" distB="0" distL="0" distR="0" simplePos="0" locked="0" layoutInCell="0" allowOverlap="1" relativeHeight="12">
              <wp:simplePos x="0" y="0"/>
              <wp:positionH relativeFrom="column">
                <wp:posOffset>5156200</wp:posOffset>
              </wp:positionH>
              <wp:positionV relativeFrom="paragraph">
                <wp:posOffset>114300</wp:posOffset>
              </wp:positionV>
              <wp:extent cx="1645285" cy="427990"/>
              <wp:effectExtent l="0" t="0" r="0" b="0"/>
              <wp:wrapNone/>
              <wp:docPr id="5" name="Shape 2"/>
              <a:graphic xmlns:a="http://schemas.openxmlformats.org/drawingml/2006/main">
                <a:graphicData uri="http://schemas.microsoft.com/office/word/2010/wordprocessingShape">
                  <wps:wsp>
                    <wps:cNvSpPr/>
                    <wps:spPr>
                      <a:xfrm>
                        <a:off x="0" y="0"/>
                        <a:ext cx="164520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6pt;margin-top:9pt;width:129.5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0" distT="0" distB="0" distL="114300" distR="114300" simplePos="0" locked="0" layoutInCell="1" allowOverlap="1" relativeHeight="16">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4">
                <wp:simplePos x="0" y="0"/>
                <wp:positionH relativeFrom="column">
                  <wp:posOffset>210820</wp:posOffset>
                </wp:positionH>
                <wp:positionV relativeFrom="paragraph">
                  <wp:posOffset>11430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Código: A-GF-F-05</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Version: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3</Pages>
  <Words>511</Words>
  <Characters>3273</Characters>
  <CharactersWithSpaces>3792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2024-05-09T15:53:09Z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