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Arial" w:hAnsi="Arial" w:cs="Arial"/>
          <w:b/>
          <w:b/>
          <w:i/>
          <w:i/>
          <w:sz w:val="18"/>
          <w:szCs w:val="18"/>
          <w:lang w:val="es-ES_tradnl"/>
        </w:rPr>
      </w:pPr>
      <w:r>
        <w:rPr>
          <w:rFonts w:cs="Arial" w:ascii="Arial" w:hAnsi="Arial"/>
          <w:b/>
          <w:i/>
          <w:sz w:val="18"/>
          <w:szCs w:val="18"/>
          <w:lang w:val="es-ES_tradnl"/>
        </w:rPr>
        <w:t>RESOLUCIÓN No. 8888 de Fecha 15 de Agosto de 2024</w:t>
      </w:r>
    </w:p>
    <w:p>
      <w:pPr>
        <w:pStyle w:val="Normal"/>
        <w:spacing w:lineRule="auto" w:line="240" w:before="0" w:after="0"/>
        <w:jc w:val="right"/>
        <w:rPr>
          <w:rFonts w:ascii="Arial" w:hAnsi="Arial" w:cs="Arial"/>
          <w:i/>
          <w:i/>
          <w:sz w:val="18"/>
          <w:szCs w:val="18"/>
          <w:lang w:val="es-ES_tradnl"/>
        </w:rPr>
      </w:pPr>
      <w:r>
        <w:rPr>
          <w:rFonts w:cs="Arial" w:ascii="Arial" w:hAnsi="Arial"/>
          <w:i/>
          <w:sz w:val="18"/>
          <w:szCs w:val="18"/>
          <w:lang w:val="es-ES_tradnl"/>
        </w:rPr>
      </w:r>
    </w:p>
    <w:p>
      <w:pPr>
        <w:pStyle w:val="Normal"/>
        <w:spacing w:lineRule="auto" w:line="240" w:before="0" w:after="0"/>
        <w:jc w:val="both"/>
        <w:rPr>
          <w:rFonts w:ascii="Arial" w:hAnsi="Arial" w:cs="Arial"/>
          <w:bCs/>
          <w:sz w:val="18"/>
          <w:szCs w:val="18"/>
          <w:lang w:val="es-ES_tradnl"/>
        </w:rPr>
      </w:pPr>
      <w:r>
        <w:rPr>
          <w:rFonts w:cs="Arial" w:ascii="Arial" w:hAnsi="Arial"/>
          <w:i/>
          <w:sz w:val="18"/>
          <w:szCs w:val="18"/>
          <w:lang w:val="es-ES_tradnl"/>
        </w:rPr>
        <w:t>Por la cual se expide una Sanción del Impuesto de Circulación y Tránsito de Vehículos de Servicio Público</w:t>
      </w:r>
    </w:p>
    <w:p>
      <w:pPr>
        <w:pStyle w:val="Normal"/>
        <w:spacing w:lineRule="auto" w:line="240" w:before="0" w:after="0"/>
        <w:jc w:val="both"/>
        <w:rPr>
          <w:rFonts w:ascii="Arial" w:hAnsi="Arial" w:cs="Arial"/>
          <w:bCs/>
          <w:sz w:val="18"/>
          <w:szCs w:val="18"/>
          <w:lang w:val="es-ES_tradnl"/>
        </w:rPr>
      </w:pPr>
      <w:r>
        <w:rPr>
          <w:rFonts w:cs="Arial" w:ascii="Arial" w:hAnsi="Arial"/>
          <w:bCs/>
          <w:sz w:val="18"/>
          <w:szCs w:val="18"/>
          <w:lang w:val="es-ES_tradnl"/>
        </w:rPr>
      </w:r>
    </w:p>
    <w:tbl>
      <w:tblPr>
        <w:tblStyle w:val="Tablaconcuadrcula"/>
        <w:tblpPr w:bottomFromText="0" w:horzAnchor="margin" w:leftFromText="141" w:rightFromText="141" w:tblpX="0" w:tblpY="3931" w:topFromText="0" w:vertAnchor="page"/>
        <w:tblW w:w="9351"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1973"/>
        <w:gridCol w:w="7377"/>
      </w:tblGrid>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Expediente No.</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444</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Contribuyente:</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MAURICIO SALAMANCA FAGUA</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C.C. o NIT:</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1098329</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IMPUESTO</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IMPUESTO DE CIRCULACIÓN Y TRÁNSITO DE VEHÍCULOS</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Placa</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XZJ335</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Dirección:</w:t>
            </w:r>
          </w:p>
        </w:tc>
        <w:tc>
          <w:tcPr>
            <w:tcW w:w="7377" w:type="dxa"/>
            <w:tcBorders>
              <w:right w:val="single" w:sz="12" w:space="0" w:color="000000"/>
            </w:tcBorders>
          </w:tcPr>
          <w:p>
            <w:pPr>
              <w:pStyle w:val="Normal"/>
              <w:widowControl w:val="false"/>
              <w:suppressAutoHyphens w:val="true"/>
              <w:spacing w:before="0" w:after="200"/>
              <w:ind w:left="2124" w:hanging="2124"/>
              <w:jc w:val="both"/>
              <w:rPr>
                <w:rFonts w:ascii="Arial" w:hAnsi="Arial" w:cs="Arial"/>
                <w:bCs/>
                <w:sz w:val="18"/>
                <w:szCs w:val="18"/>
                <w:lang w:val="es-ES_tradnl"/>
              </w:rPr>
            </w:pPr>
            <w:r>
              <w:rPr>
                <w:rFonts w:cs="Arial" w:ascii="Arial" w:hAnsi="Arial"/>
                <w:bCs/>
                <w:kern w:val="0"/>
                <w:sz w:val="22"/>
                <w:szCs w:val="22"/>
                <w:lang w:val="es-CO" w:eastAsia="en-US" w:bidi="ar-SA"/>
              </w:rPr>
              <w:t>carrerra 44 45 47</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Ciudad:</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ABRIAQUÍ, ANTIOQUIA</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Teléfono:</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3333</w:t>
            </w:r>
          </w:p>
        </w:tc>
      </w:tr>
      <w:tr>
        <w:trPr/>
        <w:tc>
          <w:tcPr>
            <w:tcW w:w="1973" w:type="dxa"/>
            <w:tcBorders>
              <w:bottom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Correo electrónico:</w:t>
            </w:r>
          </w:p>
        </w:tc>
        <w:tc>
          <w:tcPr>
            <w:tcW w:w="7377" w:type="dxa"/>
            <w:tcBorders>
              <w:bottom w:val="single" w:sz="12" w:space="0" w:color="000000"/>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a@com.co</w:t>
            </w:r>
          </w:p>
        </w:tc>
      </w:tr>
    </w:tbl>
    <w:p>
      <w:pPr>
        <w:pStyle w:val="Normal"/>
        <w:spacing w:lineRule="auto" w:line="240" w:before="0" w:after="0"/>
        <w:jc w:val="both"/>
        <w:rPr>
          <w:rFonts w:ascii="Arial" w:hAnsi="Arial" w:cs="Arial"/>
          <w:bCs/>
          <w:sz w:val="18"/>
          <w:szCs w:val="18"/>
          <w:lang w:val="es-ES_tradnl"/>
        </w:rPr>
      </w:pPr>
      <w:r>
        <w:rPr>
          <w:rFonts w:cs="Arial" w:ascii="Arial" w:hAnsi="Arial"/>
          <w:bCs/>
          <w:sz w:val="18"/>
          <w:szCs w:val="18"/>
          <w:lang w:val="es-ES_tradnl"/>
        </w:rPr>
      </w:r>
    </w:p>
    <w:p>
      <w:pPr>
        <w:pStyle w:val="Normal"/>
        <w:spacing w:lineRule="auto" w:line="240" w:before="0" w:after="0"/>
        <w:ind w:right="-1" w:hanging="0"/>
        <w:jc w:val="both"/>
        <w:rPr>
          <w:rFonts w:ascii="Arial" w:hAnsi="Arial" w:cs="Arial"/>
          <w:sz w:val="18"/>
          <w:szCs w:val="18"/>
        </w:rPr>
      </w:pPr>
      <w:r>
        <w:rPr>
          <w:rFonts w:cs="Arial" w:ascii="Arial" w:hAnsi="Arial"/>
          <w:bCs/>
          <w:sz w:val="18"/>
          <w:szCs w:val="18"/>
          <w:lang w:val="es-ES_tradnl"/>
        </w:rPr>
        <w:t xml:space="preserve">La Secretaria de Hacienda del Municipio de Aguazul (Casanare), en uso de sus atribuciones legales y especialmente las conferidas por los </w:t>
      </w:r>
      <w:r>
        <w:rPr>
          <w:rFonts w:cs="Arial" w:ascii="Arial" w:hAnsi="Arial"/>
          <w:sz w:val="18"/>
          <w:szCs w:val="18"/>
        </w:rPr>
        <w:t>artículos 5, 166 a 176, 348, 350, 352, 353, 355 y 458 del Acuerdo 020 del 21 de diciembre de 2016, y</w:t>
      </w:r>
    </w:p>
    <w:p>
      <w:pPr>
        <w:pStyle w:val="NormalWeb"/>
        <w:spacing w:beforeAutospacing="0" w:before="0" w:afterAutospacing="0" w:after="0"/>
        <w:jc w:val="center"/>
        <w:rPr>
          <w:rFonts w:ascii="Arial" w:hAnsi="Arial" w:cs="Arial"/>
          <w:bCs/>
          <w:sz w:val="18"/>
          <w:szCs w:val="18"/>
          <w:lang w:val="es-ES_tradnl"/>
        </w:rPr>
      </w:pPr>
      <w:r>
        <w:rPr>
          <w:rFonts w:cs="Arial" w:ascii="Arial" w:hAnsi="Arial"/>
          <w:b/>
          <w:bCs/>
          <w:sz w:val="18"/>
          <w:szCs w:val="18"/>
          <w:lang w:val="es-ES_tradnl"/>
        </w:rPr>
        <w:t>CONSIDERANDO QUE</w:t>
      </w:r>
      <w:r>
        <w:rPr>
          <w:rFonts w:cs="Arial" w:ascii="Arial" w:hAnsi="Arial"/>
          <w:bCs/>
          <w:sz w:val="18"/>
          <w:szCs w:val="18"/>
          <w:lang w:val="es-ES_tradnl"/>
        </w:rPr>
        <w:t>,</w:t>
      </w:r>
    </w:p>
    <w:p>
      <w:pPr>
        <w:pStyle w:val="NormalWeb"/>
        <w:spacing w:beforeAutospacing="0" w:before="0" w:afterAutospacing="0" w:after="0"/>
        <w:jc w:val="both"/>
        <w:rPr>
          <w:rFonts w:ascii="Arial" w:hAnsi="Arial" w:cs="Arial"/>
          <w:b/>
          <w:b/>
          <w:sz w:val="18"/>
          <w:szCs w:val="18"/>
          <w:lang w:val="es-ES_tradnl"/>
        </w:rPr>
      </w:pPr>
      <w:r>
        <w:rPr>
          <w:rFonts w:cs="Arial" w:ascii="Arial" w:hAnsi="Arial"/>
          <w:b/>
          <w:sz w:val="18"/>
          <w:szCs w:val="18"/>
          <w:lang w:val="es-ES_tradnl"/>
        </w:rPr>
      </w:r>
    </w:p>
    <w:p>
      <w:pPr>
        <w:pStyle w:val="ListParagraph"/>
        <w:numPr>
          <w:ilvl w:val="0"/>
          <w:numId w:val="7"/>
        </w:numPr>
        <w:spacing w:lineRule="auto" w:line="240" w:before="0" w:after="0"/>
        <w:ind w:left="360" w:right="-1" w:hanging="360"/>
        <w:jc w:val="both"/>
        <w:rPr>
          <w:rFonts w:ascii="Arial" w:hAnsi="Arial" w:cs="Arial"/>
          <w:sz w:val="18"/>
          <w:szCs w:val="18"/>
          <w:lang w:val="es-ES_tradnl"/>
        </w:rPr>
      </w:pPr>
      <w:r>
        <w:rPr>
          <w:rFonts w:cs="Arial" w:ascii="Arial" w:hAnsi="Arial"/>
          <w:sz w:val="18"/>
          <w:szCs w:val="18"/>
          <w:lang w:val="es-ES_tradnl"/>
        </w:rPr>
        <w:t xml:space="preserve">En desarrollo del programa OMISOS DEL </w:t>
      </w:r>
      <w:r>
        <w:rPr>
          <w:rFonts w:cs="Arial" w:ascii="Arial" w:hAnsi="Arial"/>
          <w:bCs/>
          <w:sz w:val="18"/>
          <w:szCs w:val="18"/>
          <w:lang w:val="es-ES_tradnl"/>
        </w:rPr>
        <w:t>IMPUESTO DE CIRCULACIÓN Y TRÁNSITO DE VEHÍCULOS DE SERVICIO PÚBLICO</w:t>
      </w:r>
      <w:r>
        <w:rPr>
          <w:rFonts w:cs="Arial" w:ascii="Arial" w:hAnsi="Arial"/>
          <w:sz w:val="18"/>
          <w:szCs w:val="18"/>
          <w:lang w:val="es-ES_tradnl"/>
        </w:rPr>
        <w:t>, la Secretaria de Hacienda de Aguazul solicitó información al Registro Único Nacional de Tránsito (RUNT), respecto a las personas propietarias de vehículos de servicio público matriculados en el municipio de Aguazul (Casanare).</w:t>
      </w:r>
    </w:p>
    <w:p>
      <w:pPr>
        <w:pStyle w:val="ListParagraph"/>
        <w:spacing w:lineRule="auto" w:line="240" w:before="0" w:after="0"/>
        <w:ind w:left="360" w:hanging="0"/>
        <w:jc w:val="both"/>
        <w:rPr>
          <w:rFonts w:ascii="Arial" w:hAnsi="Arial" w:cs="Arial"/>
          <w:sz w:val="18"/>
          <w:szCs w:val="18"/>
          <w:lang w:val="es-ES_tradnl"/>
        </w:rPr>
      </w:pPr>
      <w:r>
        <w:rPr>
          <w:rFonts w:cs="Arial" w:ascii="Arial" w:hAnsi="Arial"/>
          <w:sz w:val="18"/>
          <w:szCs w:val="18"/>
          <w:lang w:val="es-ES_tradnl"/>
        </w:rPr>
      </w:r>
    </w:p>
    <w:p>
      <w:pPr>
        <w:pStyle w:val="ListParagraph"/>
        <w:numPr>
          <w:ilvl w:val="0"/>
          <w:numId w:val="8"/>
        </w:numPr>
        <w:spacing w:lineRule="auto" w:line="240" w:before="0" w:after="0"/>
        <w:ind w:left="360" w:right="-1" w:hanging="360"/>
        <w:jc w:val="both"/>
        <w:rPr>
          <w:rFonts w:ascii="Arial" w:hAnsi="Arial" w:cs="Arial"/>
          <w:sz w:val="18"/>
          <w:szCs w:val="18"/>
          <w:lang w:val="es-ES_tradnl"/>
        </w:rPr>
      </w:pPr>
      <w:r>
        <w:rPr>
          <w:rFonts w:cs="Arial" w:ascii="Arial" w:hAnsi="Arial"/>
          <w:sz w:val="18"/>
          <w:szCs w:val="18"/>
          <w:lang w:val="es-ES_tradnl"/>
        </w:rPr>
        <w:t>En respuesta al requerimiento anterior, el RUNT informó que la persona abajo relacionada cumple con los requisitos exigidos en los artículos 166 a 176 del Estatuto de Rentas municipal:</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tbl>
      <w:tblPr>
        <w:tblStyle w:val="Tablaconcuadrcula"/>
        <w:tblW w:w="908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598"/>
        <w:gridCol w:w="6483"/>
      </w:tblGrid>
      <w:tr>
        <w:trPr/>
        <w:tc>
          <w:tcPr>
            <w:tcW w:w="2598" w:type="dxa"/>
            <w:tcBorders/>
          </w:tcPr>
          <w:p>
            <w:pPr>
              <w:pStyle w:val="Normal"/>
              <w:widowControl w:val="false"/>
              <w:suppressAutoHyphens w:val="true"/>
              <w:spacing w:before="0" w:after="200"/>
              <w:jc w:val="both"/>
              <w:rPr>
                <w:rFonts w:ascii="Avenir Next LT Pro" w:hAnsi="Avenir Next LT Pro" w:cs="Arial"/>
                <w:sz w:val="18"/>
                <w:szCs w:val="18"/>
              </w:rPr>
            </w:pPr>
            <w:r>
              <w:rPr>
                <w:rFonts w:cs="Arial" w:ascii="Avenir Next LT Pro" w:hAnsi="Avenir Next LT Pro"/>
                <w:kern w:val="0"/>
                <w:sz w:val="18"/>
                <w:szCs w:val="18"/>
                <w:lang w:val="es-CO" w:eastAsia="en-US" w:bidi="ar-SA"/>
              </w:rPr>
              <w:t>Nombre o Razón Social</w:t>
            </w:r>
          </w:p>
        </w:tc>
        <w:tc>
          <w:tcPr>
            <w:tcW w:w="648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MAURICIO SALAMANCA FAGUA</w:t>
            </w:r>
          </w:p>
        </w:tc>
      </w:tr>
      <w:tr>
        <w:trPr/>
        <w:tc>
          <w:tcPr>
            <w:tcW w:w="2598" w:type="dxa"/>
            <w:tcBorders/>
          </w:tcPr>
          <w:p>
            <w:pPr>
              <w:pStyle w:val="Normal"/>
              <w:widowControl w:val="false"/>
              <w:suppressAutoHyphens w:val="true"/>
              <w:spacing w:before="0" w:after="200"/>
              <w:jc w:val="both"/>
              <w:rPr>
                <w:rFonts w:ascii="Avenir Next LT Pro" w:hAnsi="Avenir Next LT Pro" w:cs="Arial"/>
                <w:sz w:val="18"/>
                <w:szCs w:val="18"/>
              </w:rPr>
            </w:pPr>
            <w:r>
              <w:rPr>
                <w:rFonts w:cs="Arial" w:ascii="Avenir Next LT Pro" w:hAnsi="Avenir Next LT Pro"/>
                <w:kern w:val="0"/>
                <w:sz w:val="18"/>
                <w:szCs w:val="18"/>
                <w:lang w:val="es-CO" w:eastAsia="en-US" w:bidi="ar-SA"/>
              </w:rPr>
              <w:t>Cédula de Ciudadanía o NIT</w:t>
            </w:r>
          </w:p>
        </w:tc>
        <w:tc>
          <w:tcPr>
            <w:tcW w:w="648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1098329</w:t>
            </w:r>
          </w:p>
        </w:tc>
      </w:tr>
      <w:tr>
        <w:trPr/>
        <w:tc>
          <w:tcPr>
            <w:tcW w:w="2598" w:type="dxa"/>
            <w:tcBorders/>
          </w:tcPr>
          <w:p>
            <w:pPr>
              <w:pStyle w:val="Normal"/>
              <w:widowControl w:val="false"/>
              <w:suppressAutoHyphens w:val="true"/>
              <w:spacing w:before="0" w:after="200"/>
              <w:jc w:val="both"/>
              <w:rPr>
                <w:rFonts w:ascii="Avenir Next LT Pro" w:hAnsi="Avenir Next LT Pro" w:cs="Arial"/>
                <w:sz w:val="18"/>
                <w:szCs w:val="18"/>
              </w:rPr>
            </w:pPr>
            <w:r>
              <w:rPr>
                <w:rFonts w:cs="Arial" w:ascii="Avenir Next LT Pro" w:hAnsi="Avenir Next LT Pro"/>
                <w:kern w:val="0"/>
                <w:sz w:val="18"/>
                <w:szCs w:val="18"/>
                <w:lang w:val="es-CO" w:eastAsia="en-US" w:bidi="ar-SA"/>
              </w:rPr>
              <w:t>Periodo Gravable</w:t>
            </w:r>
          </w:p>
        </w:tc>
        <w:tc>
          <w:tcPr>
            <w:tcW w:w="6483" w:type="dxa"/>
            <w:tcBorders/>
          </w:tcPr>
          <w:p>
            <w:pPr>
              <w:pStyle w:val="Normal"/>
              <w:widowControl w:val="false"/>
              <w:suppressAutoHyphens w:val="true"/>
              <w:spacing w:before="0" w:after="200"/>
              <w:jc w:val="both"/>
              <w:rPr>
                <w:rFonts w:ascii="Arial" w:hAnsi="Arial" w:eastAsia="Calibri" w:cs="Arial"/>
                <w:bCs/>
                <w:kern w:val="0"/>
                <w:sz w:val="22"/>
                <w:szCs w:val="22"/>
                <w:lang w:val="es-CO" w:eastAsia="en-US" w:bidi="ar-SA"/>
              </w:rPr>
            </w:pPr>
            <w:r>
              <w:rPr>
                <w:rFonts w:eastAsia="Calibri" w:cs="Arial" w:ascii="Arial" w:hAnsi="Arial"/>
                <w:bCs/>
                <w:kern w:val="0"/>
                <w:sz w:val="22"/>
                <w:szCs w:val="22"/>
                <w:lang w:val="es-CO" w:eastAsia="en-US" w:bidi="ar-SA"/>
              </w:rPr>
              <w:t>2024</w:t>
            </w:r>
          </w:p>
        </w:tc>
      </w:tr>
      <w:tr>
        <w:trPr/>
        <w:tc>
          <w:tcPr>
            <w:tcW w:w="2598" w:type="dxa"/>
            <w:tcBorders/>
          </w:tcPr>
          <w:p>
            <w:pPr>
              <w:pStyle w:val="Normal"/>
              <w:widowControl w:val="false"/>
              <w:suppressAutoHyphens w:val="true"/>
              <w:spacing w:before="0" w:after="200"/>
              <w:jc w:val="both"/>
              <w:rPr>
                <w:rFonts w:ascii="Avenir Next LT Pro" w:hAnsi="Avenir Next LT Pro" w:cs="Arial"/>
                <w:sz w:val="18"/>
                <w:szCs w:val="18"/>
              </w:rPr>
            </w:pPr>
            <w:r>
              <w:rPr>
                <w:rFonts w:cs="Arial" w:ascii="Avenir Next LT Pro" w:hAnsi="Avenir Next LT Pro"/>
                <w:kern w:val="0"/>
                <w:sz w:val="18"/>
                <w:szCs w:val="18"/>
                <w:lang w:val="es-CO" w:eastAsia="en-US" w:bidi="ar-SA"/>
              </w:rPr>
              <w:t>Placa vehículo</w:t>
            </w:r>
          </w:p>
        </w:tc>
        <w:tc>
          <w:tcPr>
            <w:tcW w:w="6483" w:type="dxa"/>
            <w:tcBorders/>
          </w:tcPr>
          <w:p>
            <w:pPr>
              <w:pStyle w:val="Normal"/>
              <w:widowControl w:val="false"/>
              <w:suppressAutoHyphens w:val="true"/>
              <w:spacing w:before="0" w:after="200"/>
              <w:jc w:val="both"/>
              <w:rPr>
                <w:rFonts w:ascii="Arial" w:hAnsi="Arial" w:eastAsia="Calibri" w:cs="Arial"/>
                <w:bCs/>
                <w:kern w:val="0"/>
                <w:sz w:val="22"/>
                <w:szCs w:val="22"/>
                <w:lang w:val="es-CO" w:eastAsia="en-US" w:bidi="ar-SA"/>
              </w:rPr>
            </w:pPr>
            <w:r>
              <w:rPr>
                <w:rFonts w:eastAsia="Calibri" w:cs="Arial" w:ascii="Arial" w:hAnsi="Arial"/>
                <w:bCs/>
                <w:kern w:val="0"/>
                <w:sz w:val="22"/>
                <w:szCs w:val="22"/>
                <w:lang w:val="es-CO" w:eastAsia="en-US" w:bidi="ar-SA"/>
              </w:rPr>
              <w:t>XZJ335</w:t>
            </w:r>
          </w:p>
        </w:tc>
      </w:tr>
    </w:tbl>
    <w:p>
      <w:pPr>
        <w:pStyle w:val="Normal"/>
        <w:spacing w:lineRule="auto" w:line="240" w:before="0" w:after="0"/>
        <w:jc w:val="both"/>
        <w:rPr>
          <w:rFonts w:ascii="Avenir Next LT Pro" w:hAnsi="Avenir Next LT Pro" w:cs="Arial"/>
          <w:b/>
          <w:b/>
          <w:sz w:val="18"/>
          <w:szCs w:val="18"/>
        </w:rPr>
      </w:pPr>
      <w:r>
        <w:rPr>
          <w:rFonts w:cs="Arial" w:ascii="Avenir Next LT Pro" w:hAnsi="Avenir Next LT Pro"/>
          <w:b/>
          <w:sz w:val="18"/>
          <w:szCs w:val="18"/>
        </w:rPr>
      </w:r>
    </w:p>
    <w:p>
      <w:pPr>
        <w:pStyle w:val="ListParagraph"/>
        <w:numPr>
          <w:ilvl w:val="0"/>
          <w:numId w:val="9"/>
        </w:numPr>
        <w:spacing w:lineRule="auto" w:line="240" w:before="0" w:after="0"/>
        <w:ind w:left="360" w:right="-1" w:hanging="360"/>
        <w:jc w:val="both"/>
        <w:rPr>
          <w:rFonts w:ascii="Arial" w:hAnsi="Arial" w:cs="Arial"/>
          <w:sz w:val="18"/>
          <w:szCs w:val="18"/>
          <w:lang w:val="es-ES_tradnl"/>
        </w:rPr>
      </w:pPr>
      <w:r>
        <w:rPr>
          <w:rFonts w:cs="Arial" w:ascii="Arial" w:hAnsi="Arial"/>
          <w:sz w:val="18"/>
          <w:szCs w:val="18"/>
          <w:lang w:val="es-ES_tradnl"/>
        </w:rPr>
        <w:t>El citado contribuyente en calidad de propietario del vehículo aquí referenciado, no cumplió con el deber legal de declarar y pagar el impuesto de circulación y tránsito de vehículos de servicio público, dentro del plazo establecido en el Calendario Tributario correspondiente.</w:t>
      </w:r>
    </w:p>
    <w:p>
      <w:pPr>
        <w:pStyle w:val="ListParagraph"/>
        <w:spacing w:lineRule="auto" w:line="240" w:before="0" w:after="0"/>
        <w:ind w:left="360" w:hanging="0"/>
        <w:jc w:val="both"/>
        <w:rPr>
          <w:rFonts w:ascii="Arial" w:hAnsi="Arial" w:cs="Arial"/>
          <w:sz w:val="18"/>
          <w:szCs w:val="18"/>
          <w:lang w:val="es-ES_tradnl"/>
        </w:rPr>
      </w:pPr>
      <w:r>
        <w:rPr>
          <w:rFonts w:cs="Arial" w:ascii="Arial" w:hAnsi="Arial"/>
          <w:sz w:val="18"/>
          <w:szCs w:val="18"/>
          <w:lang w:val="es-ES_tradnl"/>
        </w:rPr>
      </w:r>
    </w:p>
    <w:p>
      <w:pPr>
        <w:pStyle w:val="ListParagraph"/>
        <w:numPr>
          <w:ilvl w:val="0"/>
          <w:numId w:val="10"/>
        </w:numPr>
        <w:spacing w:lineRule="auto" w:line="240" w:before="0" w:after="0"/>
        <w:ind w:left="360" w:right="-1" w:hanging="360"/>
        <w:jc w:val="both"/>
        <w:rPr>
          <w:rFonts w:ascii="Arial" w:hAnsi="Arial" w:cs="Arial"/>
          <w:sz w:val="18"/>
          <w:szCs w:val="18"/>
          <w:lang w:val="es-ES_tradnl"/>
        </w:rPr>
      </w:pPr>
      <w:r>
        <w:rPr>
          <w:rFonts w:cs="Arial" w:ascii="Arial" w:hAnsi="Arial"/>
          <w:sz w:val="18"/>
          <w:szCs w:val="18"/>
          <w:lang w:val="es-ES_tradnl"/>
        </w:rPr>
        <w:t xml:space="preserve">Mediante emplazamiento previo por no declarar N° </w:t>
      </w:r>
      <w:r>
        <w:rPr>
          <w:rFonts w:cs="Arial" w:ascii="Arial" w:hAnsi="Arial"/>
          <w:sz w:val="18"/>
          <w:szCs w:val="18"/>
          <w:shd w:fill="auto" w:val="clear"/>
          <w:lang w:val="es-ES_tradnl"/>
        </w:rPr>
        <w:t xml:space="preserve">8888 de fecha 15 de Agosto de 2024, </w:t>
      </w:r>
      <w:r>
        <w:rPr>
          <w:rFonts w:cs="Arial" w:ascii="Arial" w:hAnsi="Arial"/>
          <w:sz w:val="18"/>
          <w:szCs w:val="18"/>
          <w:lang w:val="es-ES_tradnl"/>
        </w:rPr>
        <w:t>debidamente notificado al contribuyente en mención, se le requirió para que cumpliera la obligación formal de presentar la declaración del impuesto de circulación y tránsito de vehículos de servicio público, dentro del término de un mes contado a partir de la fecha de notificación de dicha actuación, la cual fue notificada el día 04 de Enero de 04</w:t>
      </w:r>
    </w:p>
    <w:p>
      <w:pPr>
        <w:pStyle w:val="ListParagraph"/>
        <w:spacing w:lineRule="auto" w:line="240" w:before="0" w:after="0"/>
        <w:ind w:left="360" w:hanging="0"/>
        <w:jc w:val="both"/>
        <w:rPr>
          <w:rFonts w:ascii="Arial" w:hAnsi="Arial" w:cs="Arial"/>
          <w:sz w:val="18"/>
          <w:szCs w:val="18"/>
          <w:lang w:val="es-ES_tradnl"/>
        </w:rPr>
      </w:pPr>
      <w:r>
        <w:rPr>
          <w:rFonts w:cs="Arial" w:ascii="Arial" w:hAnsi="Arial"/>
          <w:sz w:val="18"/>
          <w:szCs w:val="18"/>
          <w:lang w:val="es-ES_tradnl"/>
        </w:rPr>
      </w:r>
    </w:p>
    <w:p>
      <w:pPr>
        <w:pStyle w:val="ListParagraph"/>
        <w:numPr>
          <w:ilvl w:val="0"/>
          <w:numId w:val="11"/>
        </w:numPr>
        <w:spacing w:lineRule="auto" w:line="240" w:before="0" w:after="0"/>
        <w:ind w:left="360" w:right="-1" w:hanging="360"/>
        <w:jc w:val="both"/>
        <w:rPr>
          <w:rFonts w:ascii="Arial" w:hAnsi="Arial" w:cs="Arial"/>
          <w:sz w:val="18"/>
          <w:szCs w:val="18"/>
          <w:lang w:eastAsia="es-CO"/>
        </w:rPr>
      </w:pPr>
      <w:r>
        <w:rPr>
          <w:rFonts w:cs="Arial" w:ascii="Arial" w:hAnsi="Arial"/>
          <w:sz w:val="18"/>
          <w:szCs w:val="18"/>
          <w:lang w:val="es-ES_tradnl"/>
        </w:rPr>
        <w:t>Por la no presentación de la declaración y pago del impuesto de circulación y tránsito de vehículos de servicio público, y agotado el procedimiento previsto en los artículos 376 al 382 del Estatuto de Rentas Municipal, esta Secretaría procede a determinar el impuesto y aplicar la sanción por no declarar para el año gravable mencionado, conforme a lo establecido en el artículo 458</w:t>
      </w:r>
      <w:r>
        <w:rPr>
          <w:rFonts w:cs="Arial" w:ascii="Arial" w:hAnsi="Arial"/>
          <w:bCs/>
          <w:sz w:val="18"/>
          <w:szCs w:val="18"/>
          <w:lang w:val="es-ES_tradnl"/>
        </w:rPr>
        <w:t xml:space="preserve"> del Estatuto de Rentas Municipal (Acuerdo 020 del 2016), norma que señala que la sanción por no declarar el impuesto de circulación y tránsito de vehículos de servicio público será equivalente </w:t>
      </w:r>
      <w:r>
        <w:rPr>
          <w:rFonts w:cs="Arial" w:ascii="Arial" w:hAnsi="Arial"/>
          <w:sz w:val="18"/>
          <w:szCs w:val="18"/>
          <w:lang w:eastAsia="es-CO"/>
        </w:rPr>
        <w:t>al diez por ciento (10%) de la base gravable del impuesto, para el periodo gravable que se encuentre omiso en la presentación de la declaración correspondiente.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En mérito de lo expuesto la suscrita Secretaria de Hacienda de Aguazul (Casanare):</w:t>
      </w:r>
    </w:p>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jc w:val="center"/>
        <w:rPr>
          <w:rFonts w:ascii="Arial" w:hAnsi="Arial" w:cs="Arial"/>
          <w:b/>
          <w:b/>
          <w:sz w:val="18"/>
          <w:szCs w:val="18"/>
          <w:lang w:val="es-ES_tradnl"/>
        </w:rPr>
      </w:pPr>
      <w:r>
        <w:rPr>
          <w:rFonts w:cs="Arial" w:ascii="Arial" w:hAnsi="Arial"/>
          <w:b/>
          <w:sz w:val="18"/>
          <w:szCs w:val="18"/>
          <w:lang w:val="es-ES_tradnl"/>
        </w:rPr>
        <w:t>RESUELVE:</w:t>
      </w:r>
    </w:p>
    <w:p>
      <w:pPr>
        <w:pStyle w:val="Normal"/>
        <w:spacing w:lineRule="auto" w:line="240" w:before="0" w:after="0"/>
        <w:jc w:val="right"/>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ind w:right="-1" w:hanging="0"/>
        <w:jc w:val="both"/>
        <w:rPr>
          <w:rFonts w:ascii="Arial" w:hAnsi="Arial" w:cs="Arial"/>
          <w:sz w:val="18"/>
          <w:szCs w:val="18"/>
        </w:rPr>
      </w:pPr>
      <w:r>
        <w:rPr>
          <w:rFonts w:cs="Arial" w:ascii="Arial" w:hAnsi="Arial"/>
          <w:b/>
          <w:sz w:val="18"/>
          <w:szCs w:val="18"/>
          <w:lang w:val="es-ES_tradnl"/>
        </w:rPr>
        <w:t xml:space="preserve">Artículo Primero: </w:t>
      </w:r>
      <w:r>
        <w:rPr>
          <w:rFonts w:cs="Arial" w:ascii="Arial" w:hAnsi="Arial"/>
          <w:sz w:val="18"/>
          <w:szCs w:val="18"/>
        </w:rPr>
        <w:t xml:space="preserve">Imponer </w:t>
      </w:r>
      <w:r>
        <w:rPr>
          <w:rFonts w:cs="Arial" w:ascii="Arial" w:hAnsi="Arial"/>
          <w:b/>
          <w:bCs/>
          <w:sz w:val="18"/>
          <w:szCs w:val="18"/>
        </w:rPr>
        <w:t>SANCIÓN</w:t>
      </w:r>
      <w:r>
        <w:rPr>
          <w:rFonts w:cs="Arial" w:ascii="Arial" w:hAnsi="Arial"/>
          <w:sz w:val="18"/>
          <w:szCs w:val="18"/>
        </w:rPr>
        <w:t xml:space="preserve"> por no declarar correspondiente al impuesto de Circulación y Tránsito de Vehículo de Servicio Público al contribuyente en los términos y condiciones siguientes: </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9214" w:type="dxa"/>
        <w:jc w:val="left"/>
        <w:tblInd w:w="137" w:type="dxa"/>
        <w:tblLayout w:type="fixed"/>
        <w:tblCellMar>
          <w:top w:w="0" w:type="dxa"/>
          <w:left w:w="108" w:type="dxa"/>
          <w:bottom w:w="0" w:type="dxa"/>
          <w:right w:w="108" w:type="dxa"/>
        </w:tblCellMar>
        <w:tblLook w:val="04a0" w:noHBand="0" w:noVBand="1" w:firstColumn="1" w:lastRow="0" w:lastColumn="0" w:firstRow="1"/>
      </w:tblPr>
      <w:tblGrid>
        <w:gridCol w:w="1768"/>
        <w:gridCol w:w="7445"/>
      </w:tblGrid>
      <w:tr>
        <w:trPr/>
        <w:tc>
          <w:tcPr>
            <w:tcW w:w="1768"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18"/>
                <w:szCs w:val="18"/>
                <w:lang w:val="es-CO" w:eastAsia="en-US" w:bidi="ar-SA"/>
              </w:rPr>
              <w:t>Razón Social</w:t>
            </w:r>
          </w:p>
        </w:tc>
        <w:tc>
          <w:tcPr>
            <w:tcW w:w="7445"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22"/>
                <w:szCs w:val="22"/>
                <w:lang w:val="es-CO" w:eastAsia="en-US" w:bidi="ar-SA"/>
              </w:rPr>
              <w:t>MAURICIO SALAMANCA FAGUA</w:t>
            </w:r>
          </w:p>
        </w:tc>
      </w:tr>
      <w:tr>
        <w:trPr/>
        <w:tc>
          <w:tcPr>
            <w:tcW w:w="1768"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18"/>
                <w:szCs w:val="18"/>
                <w:lang w:val="es-CO" w:eastAsia="en-US" w:bidi="ar-SA"/>
              </w:rPr>
              <w:t>Identificación</w:t>
            </w:r>
          </w:p>
        </w:tc>
        <w:tc>
          <w:tcPr>
            <w:tcW w:w="7445"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22"/>
                <w:szCs w:val="22"/>
                <w:lang w:val="es-CO" w:eastAsia="en-US" w:bidi="ar-SA"/>
              </w:rPr>
              <w:t>1098329</w:t>
            </w:r>
          </w:p>
        </w:tc>
      </w:tr>
      <w:tr>
        <w:trPr/>
        <w:tc>
          <w:tcPr>
            <w:tcW w:w="1768"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18"/>
                <w:szCs w:val="18"/>
                <w:lang w:val="es-CO" w:eastAsia="en-US" w:bidi="ar-SA"/>
              </w:rPr>
              <w:t>Periodo Gravable</w:t>
            </w:r>
          </w:p>
        </w:tc>
        <w:tc>
          <w:tcPr>
            <w:tcW w:w="7445"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22"/>
                <w:szCs w:val="22"/>
                <w:lang w:val="es-CO" w:eastAsia="en-US" w:bidi="ar-SA"/>
              </w:rPr>
              <w:t>2024</w:t>
            </w:r>
          </w:p>
        </w:tc>
      </w:tr>
      <w:tr>
        <w:trPr/>
        <w:tc>
          <w:tcPr>
            <w:tcW w:w="1768"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18"/>
                <w:szCs w:val="18"/>
                <w:lang w:val="es-CO" w:eastAsia="en-US" w:bidi="ar-SA"/>
              </w:rPr>
              <w:t>Por la suma de</w:t>
            </w:r>
          </w:p>
        </w:tc>
        <w:tc>
          <w:tcPr>
            <w:tcW w:w="7445" w:type="dxa"/>
            <w:tcBorders/>
          </w:tcPr>
          <w:p>
            <w:pPr>
              <w:pStyle w:val="Normal"/>
              <w:widowControl w:val="false"/>
              <w:suppressAutoHyphens w:val="true"/>
              <w:spacing w:before="0" w:after="200"/>
              <w:jc w:val="both"/>
              <w:rPr>
                <w:rFonts w:ascii="Arial" w:hAnsi="Arial" w:cs="Arial"/>
                <w:bCs/>
                <w:sz w:val="18"/>
                <w:szCs w:val="18"/>
              </w:rPr>
            </w:pPr>
            <w:r>
              <w:rPr>
                <w:rFonts w:cs="Arial" w:ascii="Arial" w:hAnsi="Arial"/>
                <w:bCs/>
                <w:kern w:val="0"/>
                <w:sz w:val="22"/>
                <w:szCs w:val="22"/>
                <w:lang w:val="es-CO" w:eastAsia="en-US" w:bidi="ar-SA"/>
              </w:rPr>
              <w:t>Tres Millones Novecientos Mil Pesos M/CTE ($3.900.000,00)</w:t>
            </w:r>
          </w:p>
        </w:tc>
      </w:tr>
    </w:tbl>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Spacing"/>
        <w:jc w:val="both"/>
        <w:rPr>
          <w:rFonts w:ascii="Arial" w:hAnsi="Arial" w:cs="Arial"/>
          <w:b/>
          <w:b/>
          <w:bCs/>
          <w:sz w:val="18"/>
          <w:szCs w:val="18"/>
          <w:lang w:val="es-CO"/>
        </w:rPr>
      </w:pPr>
      <w:r>
        <w:rPr>
          <w:rFonts w:cs="Arial" w:ascii="Arial" w:hAnsi="Arial"/>
          <w:b/>
          <w:bCs/>
          <w:sz w:val="18"/>
          <w:szCs w:val="18"/>
          <w:lang w:val="es-CO"/>
        </w:rPr>
      </w:r>
    </w:p>
    <w:p>
      <w:pPr>
        <w:pStyle w:val="NoSpacing"/>
        <w:jc w:val="both"/>
        <w:rPr>
          <w:rFonts w:ascii="Arial" w:hAnsi="Arial" w:cs="Arial"/>
          <w:sz w:val="18"/>
          <w:szCs w:val="18"/>
          <w:lang w:val="es-CO"/>
        </w:rPr>
      </w:pPr>
      <w:r>
        <w:rPr>
          <w:rFonts w:cs="Arial" w:ascii="Arial" w:hAnsi="Arial"/>
          <w:b/>
          <w:bCs/>
          <w:sz w:val="18"/>
          <w:szCs w:val="18"/>
          <w:lang w:val="es-CO"/>
        </w:rPr>
        <w:t>Artículo Segundo: NOTIFICAR</w:t>
      </w:r>
      <w:r>
        <w:rPr>
          <w:rFonts w:cs="Arial" w:ascii="Arial" w:hAnsi="Arial"/>
          <w:sz w:val="18"/>
          <w:szCs w:val="18"/>
          <w:lang w:val="es-CO"/>
        </w:rPr>
        <w:t xml:space="preserve"> la presente resolución de conformidad con lo dispuesto en los artículos 308 y 310 del Acuerdo 020 de 2016, advirtiéndole al contribuyente que contra la presente actuación procede el </w:t>
      </w:r>
      <w:r>
        <w:rPr>
          <w:rFonts w:cs="Arial" w:ascii="Arial" w:hAnsi="Arial"/>
          <w:b/>
          <w:bCs/>
          <w:sz w:val="18"/>
          <w:szCs w:val="18"/>
          <w:lang w:val="es-CO"/>
        </w:rPr>
        <w:t>RECURSO DE RECONSIDERACIÓN</w:t>
      </w:r>
      <w:r>
        <w:rPr>
          <w:rFonts w:cs="Arial" w:ascii="Arial" w:hAnsi="Arial"/>
          <w:sz w:val="18"/>
          <w:szCs w:val="18"/>
          <w:lang w:val="es-CO"/>
        </w:rPr>
        <w:t>, el cual, según lo dispuesto en el artículo 385 del estatuto de rentas, deberá interponerse ante el Despacho de la Secretaría de Hacienda dentro de los dos (2) meses calendario siguientes a la fecha de notificación, cumpliendo los requisitos establecidos en el artículo 387 de la norma mencionada.</w:t>
      </w:r>
    </w:p>
    <w:p>
      <w:pPr>
        <w:pStyle w:val="Normal"/>
        <w:spacing w:lineRule="auto" w:line="240" w:before="0" w:after="0"/>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jc w:val="center"/>
        <w:rPr>
          <w:rFonts w:ascii="Arial" w:hAnsi="Arial" w:cs="Arial"/>
          <w:b/>
          <w:b/>
          <w:sz w:val="18"/>
          <w:szCs w:val="18"/>
          <w:lang w:val="es-ES_tradnl"/>
        </w:rPr>
      </w:pPr>
      <w:r>
        <w:rPr>
          <w:rFonts w:cs="Arial" w:ascii="Arial" w:hAnsi="Arial"/>
          <w:b/>
          <w:sz w:val="18"/>
          <w:szCs w:val="18"/>
          <w:lang w:val="es-ES_tradnl"/>
        </w:rPr>
        <w:t>NOTIFIQUESE Y CÚMPLASE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Narrow" w:hAnsi="Arial Narrow" w:cs="Arial"/>
          <w:b/>
          <w:b/>
          <w:bCs/>
        </w:rPr>
      </w:pPr>
      <w:r>
        <w:rPr>
          <w:rFonts w:cs="Arial" w:ascii="Arial Narrow" w:hAnsi="Arial Narrow"/>
          <w:b/>
          <w:bCs/>
        </w:rPr>
        <w:t>YENNY CAROLINA CARDENAS GARCIA</w:t>
      </w:r>
    </w:p>
    <w:p>
      <w:pPr>
        <w:pStyle w:val="Normal"/>
        <w:spacing w:lineRule="auto" w:line="240" w:before="0" w:after="0"/>
        <w:jc w:val="center"/>
        <w:rPr>
          <w:rFonts w:ascii="Arial Narrow" w:hAnsi="Arial Narrow" w:cs="Arial"/>
        </w:rPr>
      </w:pPr>
      <w:r>
        <w:rPr>
          <w:rFonts w:cs="Arial" w:ascii="Arial Narrow" w:hAnsi="Arial Narrow"/>
        </w:rPr>
        <w:t>Secretaria de Hacienda.</w:t>
      </w:r>
    </w:p>
    <w:p>
      <w:pPr>
        <w:pStyle w:val="Normal"/>
        <w:spacing w:lineRule="auto" w:line="240" w:before="0" w:after="0"/>
        <w:ind w:left="708" w:hanging="708"/>
        <w:jc w:val="center"/>
        <w:rPr>
          <w:rFonts w:ascii="Arial Narrow" w:hAnsi="Arial Narrow" w:cs="Arial"/>
        </w:rPr>
      </w:pPr>
      <w:r>
        <w:rPr>
          <w:rFonts w:cs="Arial" w:ascii="Arial Narrow" w:hAnsi="Arial Narrow"/>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tbl>
      <w:tblPr>
        <w:tblStyle w:val="Tablaconcuadrcula"/>
        <w:tblW w:w="90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36"/>
        <w:gridCol w:w="420"/>
        <w:gridCol w:w="4116"/>
      </w:tblGrid>
      <w:tr>
        <w:trPr/>
        <w:tc>
          <w:tcPr>
            <w:tcW w:w="4536" w:type="dxa"/>
            <w:tcBorders>
              <w:top w:val="nil"/>
              <w:left w:val="nil"/>
              <w:bottom w:val="nil"/>
              <w:right w:val="nil"/>
            </w:tcBorders>
          </w:tcPr>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Elaboró y Aprobó: </w:t>
            </w:r>
            <w:r>
              <w:rPr>
                <w:rFonts w:cs="Arial" w:ascii="Arial Narrow" w:hAnsi="Arial Narrow"/>
                <w:b/>
                <w:bCs/>
                <w:kern w:val="0"/>
                <w:sz w:val="14"/>
                <w:szCs w:val="14"/>
                <w:lang w:val="es-CO" w:eastAsia="en-US" w:bidi="ar-SA"/>
              </w:rPr>
              <w:t>NURY ESMERALDA RODRÍGUEZ BUITRAGO</w:t>
            </w:r>
          </w:p>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Profesional Universitario de Rentas                                                            </w:t>
            </w:r>
          </w:p>
        </w:tc>
        <w:tc>
          <w:tcPr>
            <w:tcW w:w="420" w:type="dxa"/>
            <w:tcBorders>
              <w:top w:val="nil"/>
              <w:left w:val="nil"/>
              <w:bottom w:val="nil"/>
              <w:right w:val="nil"/>
            </w:tcBorders>
          </w:tcPr>
          <w:p>
            <w:pPr>
              <w:pStyle w:val="Normal"/>
              <w:widowControl w:val="false"/>
              <w:suppressAutoHyphens w:val="true"/>
              <w:spacing w:before="0" w:after="200"/>
              <w:jc w:val="both"/>
              <w:rPr>
                <w:rFonts w:ascii="Arial Narrow" w:hAnsi="Arial Narrow" w:cs="Arial"/>
                <w:sz w:val="14"/>
                <w:szCs w:val="14"/>
              </w:rPr>
            </w:pPr>
            <w:r>
              <w:rPr>
                <w:rFonts w:cs="Arial" w:ascii="Arial Narrow" w:hAnsi="Arial Narrow"/>
                <w:sz w:val="14"/>
                <w:szCs w:val="14"/>
              </w:rPr>
            </w:r>
          </w:p>
        </w:tc>
        <w:tc>
          <w:tcPr>
            <w:tcW w:w="4116" w:type="dxa"/>
            <w:tcBorders>
              <w:top w:val="nil"/>
              <w:left w:val="nil"/>
              <w:bottom w:val="nil"/>
              <w:right w:val="nil"/>
            </w:tcBorders>
          </w:tcPr>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Revisión Jurídica: </w:t>
            </w:r>
            <w:r>
              <w:rPr>
                <w:rFonts w:cs="Arial" w:ascii="Arial Narrow" w:hAnsi="Arial Narrow"/>
                <w:b/>
                <w:kern w:val="0"/>
                <w:sz w:val="14"/>
                <w:szCs w:val="14"/>
                <w:lang w:val="es-CO" w:eastAsia="en-US" w:bidi="ar-SA"/>
              </w:rPr>
              <w:t>CARLOS RAFAEL AVELLA PEREZ</w:t>
            </w:r>
          </w:p>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Profesional contratado Secretaría de Hacienda</w:t>
            </w:r>
          </w:p>
        </w:tc>
      </w:tr>
    </w:tbl>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numPr>
          <w:ilvl w:val="0"/>
          <w:numId w:val="0"/>
        </w:numPr>
        <w:spacing w:lineRule="auto" w:line="240" w:beforeAutospacing="1" w:afterAutospacing="1"/>
        <w:ind w:left="0" w:hanging="0"/>
        <w:contextualSpacing/>
        <w:outlineLvl w:val="0"/>
        <w:rPr>
          <w:rFonts w:ascii="Arial Narrow" w:hAnsi="Arial Narrow" w:cs="Arial"/>
          <w:sz w:val="16"/>
          <w:szCs w:val="16"/>
          <w:shd w:fill="FFFFFF" w:val="clear"/>
          <w:lang w:val="es-ES_tradnl"/>
        </w:rPr>
      </w:pPr>
      <w:r>
        <w:rPr>
          <w:rFonts w:cs="Arial" w:ascii="Arial Narrow" w:hAnsi="Arial Narrow"/>
          <w:sz w:val="16"/>
          <w:szCs w:val="16"/>
          <w:shd w:fill="FFFFFF" w:val="clear"/>
          <w:lang w:val="es-ES_tradnl"/>
        </w:rPr>
        <w:t xml:space="preserve">Apoyo en la elaboración: </w:t>
      </w:r>
      <w:r>
        <w:rPr>
          <w:rFonts w:cs="Arial" w:ascii="Arial Narrow" w:hAnsi="Arial Narrow"/>
          <w:sz w:val="16"/>
          <w:szCs w:val="16"/>
          <w:shd w:fill="auto" w:val="clear"/>
          <w:lang w:val="es-ES_tradnl"/>
        </w:rPr>
        <w:t>SISTEMA SISTEMA</w:t>
      </w:r>
    </w:p>
    <w:p>
      <w:pPr>
        <w:pStyle w:val="Normal"/>
        <w:numPr>
          <w:ilvl w:val="0"/>
          <w:numId w:val="0"/>
        </w:numPr>
        <w:spacing w:lineRule="auto" w:line="240" w:beforeAutospacing="1" w:afterAutospacing="1"/>
        <w:ind w:left="0" w:hanging="0"/>
        <w:contextualSpacing/>
        <w:outlineLvl w:val="0"/>
        <w:rPr>
          <w:rFonts w:ascii="Arial Narrow" w:hAnsi="Arial Narrow" w:cs="Arial"/>
          <w:sz w:val="20"/>
          <w:szCs w:val="20"/>
        </w:rPr>
      </w:pPr>
      <w:r>
        <w:rPr>
          <w:rFonts w:cs="Arial" w:ascii="Arial Narrow" w:hAnsi="Arial Narrow"/>
          <w:sz w:val="16"/>
          <w:szCs w:val="16"/>
          <w:shd w:fill="FFFFFF" w:val="clear"/>
          <w:lang w:val="es-ES_tradnl"/>
        </w:rPr>
        <w:t>Profesional Contratado Secretaría de Hacienda</w:t>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r>
        <w:br w:type="page"/>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t>ANEXO EXPLICATIVO</w:t>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Cs/>
          <w:sz w:val="18"/>
          <w:szCs w:val="18"/>
          <w:lang w:val="es-ES_tradnl"/>
        </w:rPr>
      </w:pPr>
      <w:r>
        <w:rPr>
          <w:rFonts w:cs="Arial" w:ascii="Arial" w:hAnsi="Arial"/>
          <w:bCs/>
          <w:sz w:val="18"/>
          <w:szCs w:val="18"/>
          <w:lang w:val="es-ES_tradnl"/>
        </w:rPr>
        <w:t>RESOLUCION SANCION PÓR NO DECLARAR</w:t>
      </w:r>
    </w:p>
    <w:p>
      <w:pPr>
        <w:pStyle w:val="Normal"/>
        <w:spacing w:lineRule="auto" w:line="240" w:before="0" w:after="0"/>
        <w:jc w:val="center"/>
        <w:rPr>
          <w:rFonts w:ascii="Arial" w:hAnsi="Arial" w:cs="Arial"/>
          <w:sz w:val="18"/>
          <w:szCs w:val="18"/>
          <w:lang w:val="es-ES_tradnl"/>
        </w:rPr>
      </w:pPr>
      <w:r>
        <w:rPr>
          <w:rFonts w:cs="Arial" w:ascii="Arial" w:hAnsi="Arial"/>
          <w:bCs/>
          <w:sz w:val="18"/>
          <w:szCs w:val="18"/>
          <w:lang w:val="es-ES_tradnl"/>
        </w:rPr>
        <w:t>No. 8888 del 15 de Agosto de 2024</w:t>
      </w:r>
    </w:p>
    <w:p>
      <w:pPr>
        <w:pStyle w:val="Normal"/>
        <w:spacing w:lineRule="auto" w:line="240" w:before="0" w:after="0"/>
        <w:jc w:val="center"/>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center"/>
        <w:rPr>
          <w:rFonts w:ascii="Arial" w:hAnsi="Arial" w:cs="Arial"/>
          <w:b/>
          <w:b/>
          <w:sz w:val="18"/>
          <w:szCs w:val="18"/>
          <w:lang w:val="es-ES_tradnl"/>
        </w:rPr>
      </w:pPr>
      <w:r>
        <w:rPr>
          <w:rFonts w:cs="Arial" w:ascii="Arial" w:hAnsi="Arial"/>
          <w:b/>
          <w:sz w:val="18"/>
          <w:szCs w:val="18"/>
          <w:lang w:val="es-ES_tradnl"/>
        </w:rPr>
      </w:r>
    </w:p>
    <w:tbl>
      <w:tblPr>
        <w:tblStyle w:val="Tablaconcuadrcula"/>
        <w:tblW w:w="920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002"/>
        <w:gridCol w:w="7206"/>
      </w:tblGrid>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Expediente No.</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444</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Contribuyente:</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MAURICIO SALAMANCA FAGUA</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C.C. o NIT:</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1098329</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IMPUESTO</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IMPUESTO DE CIRCULACIÓN Y TRÁNSITO DE VEHÍCULOS</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Placa</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XZJ335</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Periodo:</w:t>
            </w:r>
          </w:p>
        </w:tc>
        <w:tc>
          <w:tcPr>
            <w:tcW w:w="7206" w:type="dxa"/>
            <w:tcBorders/>
          </w:tcPr>
          <w:p>
            <w:pPr>
              <w:pStyle w:val="Normal"/>
              <w:widowControl w:val="false"/>
              <w:suppressAutoHyphens w:val="true"/>
              <w:spacing w:before="0" w:after="200"/>
              <w:ind w:left="2124" w:hanging="2124"/>
              <w:jc w:val="both"/>
              <w:rPr>
                <w:rFonts w:ascii="Arial" w:hAnsi="Arial" w:eastAsia="Calibri" w:cs="Arial" w:eastAsiaTheme="minorHAnsi"/>
                <w:bCs/>
                <w:color w:val="auto"/>
                <w:kern w:val="0"/>
                <w:sz w:val="22"/>
                <w:szCs w:val="22"/>
                <w:lang w:val="es-CO" w:eastAsia="en-US" w:bidi="ar-SA"/>
              </w:rPr>
            </w:pPr>
            <w:r>
              <w:rPr>
                <w:rFonts w:eastAsia="Calibri" w:cs="Arial" w:ascii="Arial" w:hAnsi="Arial" w:eastAsiaTheme="minorHAnsi"/>
                <w:bCs/>
                <w:color w:val="auto"/>
                <w:kern w:val="0"/>
                <w:sz w:val="22"/>
                <w:szCs w:val="22"/>
                <w:lang w:val="es-CO" w:eastAsia="en-US" w:bidi="ar-SA"/>
              </w:rPr>
              <w:t>N/A</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Dirección:</w:t>
            </w:r>
          </w:p>
        </w:tc>
        <w:tc>
          <w:tcPr>
            <w:tcW w:w="7206" w:type="dxa"/>
            <w:tcBorders/>
          </w:tcPr>
          <w:p>
            <w:pPr>
              <w:pStyle w:val="Normal"/>
              <w:widowControl w:val="false"/>
              <w:suppressAutoHyphens w:val="true"/>
              <w:spacing w:before="0" w:after="200"/>
              <w:ind w:left="2124" w:hanging="2124"/>
              <w:jc w:val="both"/>
              <w:rPr>
                <w:rFonts w:ascii="Arial" w:hAnsi="Arial" w:cs="Arial"/>
                <w:bCs/>
                <w:sz w:val="18"/>
                <w:szCs w:val="18"/>
                <w:lang w:val="es-ES_tradnl"/>
              </w:rPr>
            </w:pPr>
            <w:r>
              <w:rPr>
                <w:rFonts w:cs="Arial" w:ascii="Arial" w:hAnsi="Arial"/>
                <w:bCs/>
                <w:kern w:val="0"/>
                <w:sz w:val="22"/>
                <w:szCs w:val="22"/>
                <w:lang w:val="es-CO" w:eastAsia="en-US" w:bidi="ar-SA"/>
              </w:rPr>
              <w:t>carrerra 44 45 47</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Ciudad:</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ABRIAQUÍ, ANTIOQUIA</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Teléfono:</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3333</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Correo electrónico:</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a@com.co</w:t>
            </w:r>
          </w:p>
        </w:tc>
      </w:tr>
    </w:tbl>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1.- COMPETENCIA.</w:t>
      </w:r>
    </w:p>
    <w:p>
      <w:pPr>
        <w:pStyle w:val="Normal"/>
        <w:spacing w:lineRule="auto" w:line="240" w:before="0" w:after="0"/>
        <w:jc w:val="both"/>
        <w:rPr>
          <w:rFonts w:ascii="Arial" w:hAnsi="Arial" w:cs="Arial"/>
          <w:b/>
          <w:b/>
          <w:bCs/>
          <w:sz w:val="18"/>
          <w:szCs w:val="18"/>
          <w:lang w:val="es-ES_tradnl"/>
        </w:rPr>
      </w:pPr>
      <w:r>
        <w:rPr>
          <w:rFonts w:cs="Arial" w:ascii="Arial" w:hAnsi="Arial"/>
          <w:b/>
          <w:bCs/>
          <w:sz w:val="18"/>
          <w:szCs w:val="18"/>
          <w:lang w:val="es-ES_tradnl"/>
        </w:rPr>
      </w:r>
    </w:p>
    <w:p>
      <w:pPr>
        <w:pStyle w:val="NormalWeb"/>
        <w:spacing w:beforeAutospacing="0" w:before="0" w:afterAutospacing="0" w:after="0"/>
        <w:jc w:val="both"/>
        <w:rPr>
          <w:rFonts w:ascii="Arial" w:hAnsi="Arial" w:cs="Arial"/>
          <w:bCs/>
          <w:sz w:val="18"/>
          <w:szCs w:val="18"/>
          <w:lang w:val="es-ES_tradnl"/>
        </w:rPr>
      </w:pPr>
      <w:r>
        <w:rPr>
          <w:rFonts w:cs="Arial" w:ascii="Arial" w:hAnsi="Arial"/>
          <w:bCs/>
          <w:sz w:val="18"/>
          <w:szCs w:val="18"/>
          <w:lang w:val="es-ES_tradnl"/>
        </w:rPr>
        <w:t xml:space="preserve">La Secretaría de Hacienda del Municipio de Aguazul (Casanare), en uso de sus atribuciones legales y especialmente las conferidas por los artículos </w:t>
      </w:r>
      <w:r>
        <w:rPr>
          <w:rFonts w:cs="Arial" w:ascii="Arial" w:hAnsi="Arial"/>
          <w:sz w:val="18"/>
          <w:szCs w:val="18"/>
        </w:rPr>
        <w:t>5, 166 a 176, 348, 350, 352, 353, 355 y 458 del Acuerdo 020 del 21 de diciembre de 2016</w:t>
      </w:r>
      <w:r>
        <w:rPr>
          <w:rFonts w:cs="Arial" w:ascii="Arial" w:hAnsi="Arial"/>
          <w:bCs/>
          <w:sz w:val="18"/>
          <w:szCs w:val="18"/>
          <w:lang w:val="es-ES_tradnl"/>
        </w:rPr>
        <w:t>.</w:t>
      </w:r>
    </w:p>
    <w:p>
      <w:pPr>
        <w:pStyle w:val="Normal"/>
        <w:spacing w:lineRule="auto" w:line="240" w:before="0" w:after="0"/>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2.- OPORTUNIDAD.</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La presente resolución sanción por no declarar se profiere una vez vencido el término de la investigada para responder el Emplazamiento para Declarar No. 8888 de 15 de Agosto de 2024, el cual se notificó el día 04 de Enero de 2024, mediante correo físico entregado por el operador COORDINADORA, Guía N.º 33333, sin que hasta la fecha la investigada hubiere presentado la declaración respectiva.</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3.-HECHOS.</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Expuestos en la parte considerativa del acto administrativo.</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4.- FUNDAMENTOS DE DERECHO.</w:t>
      </w:r>
    </w:p>
    <w:p>
      <w:pPr>
        <w:pStyle w:val="Normal"/>
        <w:spacing w:lineRule="auto" w:line="240" w:before="0" w:after="0"/>
        <w:ind w:hanging="0"/>
        <w:jc w:val="both"/>
        <w:rPr/>
      </w:pPr>
      <w:r>
        <w:rPr/>
      </w:r>
    </w:p>
    <w:tbl>
      <w:tblPr>
        <w:tblW w:w="9360" w:type="dxa"/>
        <w:jc w:val="left"/>
        <w:tblInd w:w="-5" w:type="dxa"/>
        <w:tblLayout w:type="fixed"/>
        <w:tblCellMar>
          <w:top w:w="55" w:type="dxa"/>
          <w:left w:w="55" w:type="dxa"/>
          <w:bottom w:w="55" w:type="dxa"/>
          <w:right w:w="55" w:type="dxa"/>
        </w:tblCellMar>
      </w:tblPr>
      <w:tblGrid>
        <w:gridCol w:w="718"/>
        <w:gridCol w:w="3510"/>
        <w:gridCol w:w="5132"/>
      </w:tblGrid>
      <w:tr>
        <w:trPr/>
        <w:tc>
          <w:tcPr>
            <w:tcW w:w="718" w:type="dxa"/>
            <w:tcBorders>
              <w:top w:val="single" w:sz="4" w:space="0" w:color="000000"/>
              <w:left w:val="single" w:sz="4" w:space="0" w:color="000000"/>
              <w:bottom w:val="single" w:sz="4" w:space="0" w:color="000000"/>
            </w:tcBorders>
          </w:tcPr>
          <w:p>
            <w:pPr>
              <w:pStyle w:val="TableContents"/>
              <w:widowControl w:val="false"/>
              <w:spacing w:before="0" w:after="200"/>
              <w:rPr/>
            </w:pPr>
            <w:r>
              <w:rPr/>
              <w:t>No</w:t>
            </w:r>
          </w:p>
        </w:tc>
        <w:tc>
          <w:tcPr>
            <w:tcW w:w="3510" w:type="dxa"/>
            <w:tcBorders>
              <w:top w:val="single" w:sz="4" w:space="0" w:color="000000"/>
              <w:left w:val="single" w:sz="4" w:space="0" w:color="000000"/>
              <w:bottom w:val="single" w:sz="4" w:space="0" w:color="000000"/>
            </w:tcBorders>
          </w:tcPr>
          <w:p>
            <w:pPr>
              <w:pStyle w:val="TableContents"/>
              <w:widowControl w:val="false"/>
              <w:spacing w:before="0" w:after="200"/>
              <w:rPr/>
            </w:pPr>
            <w:r>
              <w:rPr/>
              <w:t>NORMA</w:t>
            </w:r>
          </w:p>
        </w:tc>
        <w:tc>
          <w:tcPr>
            <w:tcW w:w="5132" w:type="dxa"/>
            <w:tcBorders>
              <w:top w:val="single" w:sz="4" w:space="0" w:color="000000"/>
              <w:left w:val="single" w:sz="4" w:space="0" w:color="000000"/>
              <w:bottom w:val="single" w:sz="4" w:space="0" w:color="000000"/>
              <w:right w:val="single" w:sz="4" w:space="0" w:color="000000"/>
            </w:tcBorders>
          </w:tcPr>
          <w:p>
            <w:pPr>
              <w:pStyle w:val="TableContents"/>
              <w:widowControl w:val="false"/>
              <w:spacing w:before="0" w:after="200"/>
              <w:rPr/>
            </w:pPr>
            <w:r>
              <w:rPr/>
              <w:t>CONTENIDO</w:t>
            </w:r>
          </w:p>
        </w:tc>
      </w:tr>
      <w:tr>
        <w:trPr>
          <w:trHeight w:val="1907" w:hRule="atLeast"/>
        </w:trPr>
        <w:tc>
          <w:tcPr>
            <w:tcW w:w="718" w:type="dxa"/>
            <w:tcBorders>
              <w:left w:val="single" w:sz="4" w:space="0" w:color="000000"/>
              <w:bottom w:val="single" w:sz="4" w:space="0" w:color="000000"/>
            </w:tcBorders>
            <w:vAlign w:val="center"/>
          </w:tcPr>
          <w:p>
            <w:pPr>
              <w:pStyle w:val="TableContents"/>
              <w:widowControl w:val="false"/>
              <w:spacing w:before="0" w:after="200"/>
              <w:jc w:val="center"/>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01</w:t>
            </w:r>
          </w:p>
        </w:tc>
        <w:tc>
          <w:tcPr>
            <w:tcW w:w="3510" w:type="dxa"/>
            <w:tcBorders>
              <w:left w:val="single" w:sz="4" w:space="0" w:color="000000"/>
              <w:bottom w:val="single" w:sz="4" w:space="0" w:color="000000"/>
            </w:tcBorders>
            <w:vAlign w:val="center"/>
          </w:tcPr>
          <w:p>
            <w:pPr>
              <w:pStyle w:val="TableContents"/>
              <w:widowControl w:val="false"/>
              <w:jc w:val="left"/>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Ley 788 de 2002</w:t>
            </w:r>
          </w:p>
          <w:p>
            <w:pPr>
              <w:pStyle w:val="TableContents"/>
              <w:widowControl w:val="false"/>
              <w:spacing w:before="0" w:after="200"/>
              <w:jc w:val="left"/>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Artículo 59</w:t>
            </w:r>
          </w:p>
        </w:tc>
        <w:tc>
          <w:tcPr>
            <w:tcW w:w="5132" w:type="dxa"/>
            <w:tcBorders>
              <w:left w:val="single" w:sz="4" w:space="0" w:color="000000"/>
              <w:bottom w:val="single" w:sz="4" w:space="0" w:color="000000"/>
              <w:right w:val="single" w:sz="4" w:space="0" w:color="000000"/>
            </w:tcBorders>
          </w:tcPr>
          <w:p>
            <w:pPr>
              <w:pStyle w:val="TableContents"/>
              <w:widowControl w:val="false"/>
              <w:spacing w:before="0" w:after="200"/>
              <w:jc w:val="both"/>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Reitera la orden a los municipios y distritos, e incluye a los departamentos, de aplicar los procedimientos establecidos en el Estatuto Tributario Nacional para los impuestos del orden nacional, a los procesos de fiscalización, liquidación, declaraciones tributarias y procesos de imposición de sanciones, discusión, y Cobro Coactivo. Faculta a las entidades territoriales para disminuir el monto de las sanciones y simplificar el término de aplicación de los procedimientos nacionales.</w:t>
            </w:r>
          </w:p>
        </w:tc>
      </w:tr>
      <w:tr>
        <w:trPr/>
        <w:tc>
          <w:tcPr>
            <w:tcW w:w="718" w:type="dxa"/>
            <w:tcBorders>
              <w:left w:val="single" w:sz="4" w:space="0" w:color="000000"/>
              <w:bottom w:val="single" w:sz="4" w:space="0" w:color="000000"/>
            </w:tcBorders>
            <w:vAlign w:val="center"/>
          </w:tcPr>
          <w:p>
            <w:pPr>
              <w:pStyle w:val="TableContents"/>
              <w:widowControl w:val="false"/>
              <w:spacing w:before="0" w:after="200"/>
              <w:jc w:val="center"/>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02</w:t>
            </w:r>
          </w:p>
        </w:tc>
        <w:tc>
          <w:tcPr>
            <w:tcW w:w="3510" w:type="dxa"/>
            <w:tcBorders>
              <w:left w:val="single" w:sz="4" w:space="0" w:color="000000"/>
              <w:bottom w:val="single" w:sz="4" w:space="0" w:color="000000"/>
            </w:tcBorders>
            <w:vAlign w:val="center"/>
          </w:tcPr>
          <w:p>
            <w:pPr>
              <w:pStyle w:val="TableContents"/>
              <w:widowControl w:val="false"/>
              <w:jc w:val="left"/>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Ley 488 de 1998</w:t>
            </w:r>
          </w:p>
          <w:p>
            <w:pPr>
              <w:pStyle w:val="TableContents"/>
              <w:widowControl w:val="false"/>
              <w:spacing w:before="0" w:after="200"/>
              <w:jc w:val="left"/>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Artículos 145, parágrafo 4º.</w:t>
            </w:r>
          </w:p>
        </w:tc>
        <w:tc>
          <w:tcPr>
            <w:tcW w:w="5132" w:type="dxa"/>
            <w:tcBorders>
              <w:left w:val="single" w:sz="4" w:space="0" w:color="000000"/>
              <w:bottom w:val="single" w:sz="4" w:space="0" w:color="000000"/>
              <w:right w:val="single" w:sz="4" w:space="0" w:color="000000"/>
            </w:tcBorders>
          </w:tcPr>
          <w:p>
            <w:pPr>
              <w:pStyle w:val="Normal"/>
              <w:widowControl w:val="false"/>
              <w:suppressAutoHyphens w:val="true"/>
              <w:spacing w:before="0" w:after="200"/>
              <w:jc w:val="both"/>
              <w:rPr>
                <w:rFonts w:ascii="Arial" w:hAnsi="Arial" w:cs="Arial"/>
                <w:sz w:val="18"/>
                <w:szCs w:val="18"/>
              </w:rPr>
            </w:pPr>
            <w:r>
              <w:rPr>
                <w:rFonts w:eastAsia="Calibri" w:cs="Arial" w:ascii="Arial" w:hAnsi="Arial" w:eastAsiaTheme="minorHAnsi"/>
                <w:color w:val="auto"/>
                <w:kern w:val="0"/>
                <w:sz w:val="18"/>
                <w:szCs w:val="18"/>
                <w:lang w:val="es-CO" w:eastAsia="en-US" w:bidi="ar-SA"/>
              </w:rPr>
              <w:t xml:space="preserve">Creó el impuesto de </w:t>
            </w:r>
            <w:r>
              <w:rPr>
                <w:rFonts w:eastAsia="Calibri" w:cs="Arial" w:ascii="Arial" w:hAnsi="Arial" w:eastAsiaTheme="minorHAnsi"/>
                <w:color w:val="000000"/>
                <w:kern w:val="0"/>
                <w:sz w:val="18"/>
                <w:szCs w:val="18"/>
                <w:shd w:fill="FFFFFF" w:val="clear"/>
                <w:lang w:val="es-CO" w:eastAsia="en-US" w:bidi="ar-SA"/>
              </w:rPr>
              <w:t xml:space="preserve">sobre vehículos automotores, el cual sustituyó los impuestos de timbre nacional sobre vehículos, cuya renta se cedió a los departamentos, de circulación y tránsito y el unificado de vehículos del Distrito Capital de Santa Fe de Bogotá. Mantuvo el </w:t>
            </w:r>
            <w:r>
              <w:rPr>
                <w:rFonts w:eastAsia="Calibri" w:cs="Arial" w:ascii="Arial" w:hAnsi="Arial" w:eastAsiaTheme="minorHAnsi"/>
                <w:color w:val="auto"/>
                <w:kern w:val="0"/>
                <w:sz w:val="18"/>
                <w:szCs w:val="18"/>
                <w:lang w:val="es-ES_tradnl" w:eastAsia="en-US" w:bidi="ar-SA"/>
              </w:rPr>
              <w:t>impuesto de Circulación y Tránsito de Vehículos de Servicio Público a los municipios que lo tenían establecido antes de la promulgación de la norma.</w:t>
            </w:r>
          </w:p>
        </w:tc>
      </w:tr>
      <w:tr>
        <w:trPr/>
        <w:tc>
          <w:tcPr>
            <w:tcW w:w="718" w:type="dxa"/>
            <w:tcBorders>
              <w:left w:val="single" w:sz="4" w:space="0" w:color="000000"/>
              <w:bottom w:val="single" w:sz="4" w:space="0" w:color="000000"/>
            </w:tcBorders>
            <w:vAlign w:val="center"/>
          </w:tcPr>
          <w:p>
            <w:pPr>
              <w:pStyle w:val="TableContents"/>
              <w:widowControl w:val="false"/>
              <w:spacing w:before="0" w:after="200"/>
              <w:jc w:val="center"/>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03</w:t>
            </w:r>
          </w:p>
        </w:tc>
        <w:tc>
          <w:tcPr>
            <w:tcW w:w="3510" w:type="dxa"/>
            <w:tcBorders>
              <w:left w:val="single" w:sz="4" w:space="0" w:color="000000"/>
              <w:bottom w:val="single" w:sz="4" w:space="0" w:color="000000"/>
            </w:tcBorders>
            <w:vAlign w:val="center"/>
          </w:tcPr>
          <w:p>
            <w:pPr>
              <w:pStyle w:val="Normal"/>
              <w:widowControl w:val="false"/>
              <w:suppressAutoHyphens w:val="true"/>
              <w:spacing w:before="0" w:after="200"/>
              <w:jc w:val="left"/>
              <w:rPr>
                <w:rFonts w:ascii="Arial" w:hAnsi="Arial" w:cs="Arial"/>
                <w:sz w:val="18"/>
                <w:szCs w:val="18"/>
              </w:rPr>
            </w:pPr>
            <w:r>
              <w:rPr>
                <w:rFonts w:cs="Arial" w:ascii="Arial" w:hAnsi="Arial"/>
                <w:kern w:val="0"/>
                <w:sz w:val="18"/>
                <w:szCs w:val="18"/>
                <w:lang w:val="es-CO" w:eastAsia="en-US" w:bidi="ar-SA"/>
              </w:rPr>
              <w:t xml:space="preserve">Estatuto de Rentas </w:t>
            </w:r>
          </w:p>
          <w:p>
            <w:pPr>
              <w:pStyle w:val="Normal"/>
              <w:widowControl w:val="false"/>
              <w:suppressAutoHyphens w:val="true"/>
              <w:spacing w:before="0" w:after="200"/>
              <w:jc w:val="left"/>
              <w:rPr>
                <w:rFonts w:ascii="Arial" w:hAnsi="Arial" w:cs="Arial"/>
                <w:sz w:val="18"/>
                <w:szCs w:val="18"/>
              </w:rPr>
            </w:pPr>
            <w:r>
              <w:rPr>
                <w:rFonts w:eastAsia="Calibri" w:cs="Arial" w:ascii="Arial" w:hAnsi="Arial" w:eastAsiaTheme="minorHAnsi"/>
                <w:color w:val="auto"/>
                <w:kern w:val="0"/>
                <w:sz w:val="18"/>
                <w:szCs w:val="18"/>
                <w:lang w:val="es-CO" w:eastAsia="en-US" w:bidi="ar-SA"/>
              </w:rPr>
              <w:t>(Acuerdo 020 de 2016)</w:t>
            </w:r>
          </w:p>
        </w:tc>
        <w:tc>
          <w:tcPr>
            <w:tcW w:w="5132" w:type="dxa"/>
            <w:tcBorders>
              <w:left w:val="single" w:sz="4" w:space="0" w:color="000000"/>
              <w:bottom w:val="single" w:sz="4" w:space="0" w:color="000000"/>
              <w:right w:val="single" w:sz="4" w:space="0" w:color="000000"/>
            </w:tcBorders>
          </w:tcPr>
          <w:p>
            <w:pPr>
              <w:pStyle w:val="Normal"/>
              <w:widowControl w:val="false"/>
              <w:suppressAutoHyphens w:val="true"/>
              <w:spacing w:before="0" w:after="200"/>
              <w:jc w:val="both"/>
              <w:rPr>
                <w:rFonts w:ascii="Arial" w:hAnsi="Arial" w:cs="Arial"/>
                <w:sz w:val="18"/>
                <w:szCs w:val="18"/>
              </w:rPr>
            </w:pPr>
            <w:r>
              <w:rPr>
                <w:rFonts w:eastAsia="Calibri" w:cs="Arial" w:ascii="Arial" w:hAnsi="Arial" w:eastAsiaTheme="minorHAnsi"/>
                <w:color w:val="auto"/>
                <w:kern w:val="0"/>
                <w:sz w:val="18"/>
                <w:szCs w:val="18"/>
                <w:lang w:val="es-CO" w:eastAsia="en-US" w:bidi="ar-SA"/>
              </w:rPr>
              <w:t>Estableció la normatividad que desde el 1 de enero de 2017 rigen los procesos de determinación, discusión, cobro coactivo, compensaciones y devoluciones, así como el régimen sancionatorio y procedimental de los tributos y otras rentas administradas por la Secretaria de Hacienda del municipio de Aguazul.</w:t>
            </w:r>
          </w:p>
        </w:tc>
      </w:tr>
    </w:tbl>
    <w:p>
      <w:pPr>
        <w:pStyle w:val="Normal"/>
        <w:spacing w:lineRule="auto" w:line="240" w:before="0" w:after="0"/>
        <w:ind w:hanging="0"/>
        <w:jc w:val="both"/>
        <w:rPr/>
      </w:pPr>
      <w:r>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Acuerdo No. 020 de diciembre 21 de 2016</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tbl>
      <w:tblPr>
        <w:tblStyle w:val="Tablaconcuadrcula"/>
        <w:tblW w:w="637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28"/>
        <w:gridCol w:w="5245"/>
      </w:tblGrid>
      <w:tr>
        <w:trPr/>
        <w:tc>
          <w:tcPr>
            <w:tcW w:w="1128"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Articulo</w:t>
            </w:r>
          </w:p>
        </w:tc>
        <w:tc>
          <w:tcPr>
            <w:tcW w:w="5245"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Contenido</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168</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Hecho generador del Impuesto de Circulación y Tránsito de vehículos de servicio Público</w:t>
            </w:r>
          </w:p>
        </w:tc>
      </w:tr>
      <w:tr>
        <w:trPr>
          <w:trHeight w:val="65" w:hRule="atLeast"/>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169</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Sujeto Pasivo del Impuesto de Circulación y Tránsito de vehículos de servicio Público</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171</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Base Gravable en Impuesto de Circulación y Tránsito de vehículos de servicio Público</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CO" w:eastAsia="en-US" w:bidi="ar-SA"/>
              </w:rPr>
              <w:t>172</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Establece la tarifa que se cobrará para el impuesto de Circulación y Tránsito de Vehículos de Servicio Público.</w:t>
            </w:r>
          </w:p>
        </w:tc>
      </w:tr>
      <w:tr>
        <w:trPr/>
        <w:tc>
          <w:tcPr>
            <w:tcW w:w="1128" w:type="dxa"/>
            <w:tcBorders/>
          </w:tcPr>
          <w:p>
            <w:pPr>
              <w:pStyle w:val="Normal"/>
              <w:widowControl w:val="false"/>
              <w:suppressAutoHyphens w:val="true"/>
              <w:spacing w:before="0" w:after="200"/>
              <w:jc w:val="center"/>
              <w:rPr>
                <w:rFonts w:ascii="Arial" w:hAnsi="Arial" w:cs="Arial"/>
                <w:sz w:val="18"/>
                <w:szCs w:val="18"/>
              </w:rPr>
            </w:pPr>
            <w:r>
              <w:rPr>
                <w:rFonts w:cs="Arial" w:ascii="Arial" w:hAnsi="Arial"/>
                <w:kern w:val="0"/>
                <w:sz w:val="18"/>
                <w:szCs w:val="18"/>
                <w:lang w:val="es-ES_tradnl" w:eastAsia="en-US" w:bidi="ar-SA"/>
              </w:rPr>
              <w:t>408</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Establece la oportunidad para allegar pruebas al expediente.</w:t>
            </w:r>
          </w:p>
        </w:tc>
      </w:tr>
      <w:tr>
        <w:trPr/>
        <w:tc>
          <w:tcPr>
            <w:tcW w:w="1128" w:type="dxa"/>
            <w:tcBorders/>
          </w:tcPr>
          <w:p>
            <w:pPr>
              <w:pStyle w:val="Normal"/>
              <w:widowControl w:val="false"/>
              <w:suppressAutoHyphens w:val="true"/>
              <w:spacing w:before="0" w:after="200"/>
              <w:jc w:val="center"/>
              <w:rPr>
                <w:rFonts w:ascii="Arial" w:hAnsi="Arial" w:cs="Arial"/>
                <w:sz w:val="18"/>
                <w:szCs w:val="18"/>
              </w:rPr>
            </w:pPr>
            <w:r>
              <w:rPr>
                <w:rFonts w:cs="Arial" w:ascii="Arial" w:hAnsi="Arial"/>
                <w:kern w:val="0"/>
                <w:sz w:val="18"/>
                <w:szCs w:val="18"/>
                <w:lang w:val="es-CO" w:eastAsia="en-US" w:bidi="ar-SA"/>
              </w:rPr>
              <w:t>454</w:t>
            </w:r>
          </w:p>
        </w:tc>
        <w:tc>
          <w:tcPr>
            <w:tcW w:w="5245" w:type="dxa"/>
            <w:tcBorders/>
          </w:tcPr>
          <w:p>
            <w:pPr>
              <w:pStyle w:val="Normal"/>
              <w:widowControl w:val="false"/>
              <w:suppressAutoHyphens w:val="true"/>
              <w:spacing w:before="0" w:after="200"/>
              <w:jc w:val="left"/>
              <w:rPr>
                <w:rFonts w:ascii="Arial" w:hAnsi="Arial" w:cs="Arial"/>
                <w:sz w:val="18"/>
                <w:szCs w:val="18"/>
                <w:lang w:val="es-ES_tradnl"/>
              </w:rPr>
            </w:pPr>
            <w:r>
              <w:rPr>
                <w:rFonts w:cs="Arial" w:ascii="Arial" w:hAnsi="Arial"/>
                <w:kern w:val="0"/>
                <w:sz w:val="18"/>
                <w:szCs w:val="18"/>
                <w:lang w:val="es-ES_tradnl" w:eastAsia="en-US" w:bidi="ar-SA"/>
              </w:rPr>
              <w:t>Prescribe que las sanciones podrán imponerse mediante resolución independiente o en liquidaciones oficiales.</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455</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Señala el término de prescripción para imponer sanciones tributarias por parte del municipio.</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458, numeral 2</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Establece una tarifa del 10% para la Sanción por no Declarar el Impuesto de Circulación y Tránsito de Vehículos de Servicio Público, tomando como referencia el v</w:t>
            </w:r>
            <w:r>
              <w:rPr>
                <w:rFonts w:cs="Arial" w:ascii="Arial" w:hAnsi="Arial"/>
                <w:kern w:val="0"/>
                <w:sz w:val="18"/>
                <w:szCs w:val="18"/>
                <w:lang w:val="es-CO" w:eastAsia="en-US" w:bidi="ar-SA"/>
              </w:rPr>
              <w:t>alor comercial del vehículo determinado por el Ministerio de Transporte.</w:t>
            </w:r>
          </w:p>
        </w:tc>
      </w:tr>
    </w:tbl>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5.- ARGUMENTOS DEL CONTRIBUYENTE.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rPr>
          <w:rFonts w:ascii="Arial" w:hAnsi="Arial" w:cs="Arial"/>
          <w:sz w:val="18"/>
          <w:szCs w:val="18"/>
        </w:rPr>
      </w:pPr>
      <w:r>
        <w:rPr>
          <w:rFonts w:cs="Arial" w:ascii="Arial" w:hAnsi="Arial"/>
          <w:sz w:val="18"/>
          <w:szCs w:val="18"/>
        </w:rPr>
        <w:t>El investigado no presentó argumentos de respuesta al emplazamiento para declarar.</w:t>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sz w:val="18"/>
          <w:szCs w:val="18"/>
          <w:lang w:val="es-ES_tradnl"/>
        </w:rPr>
      </w:pPr>
      <w:r>
        <w:rPr>
          <w:rFonts w:cs="Arial" w:ascii="Arial" w:hAnsi="Arial"/>
          <w:b/>
          <w:bCs/>
          <w:sz w:val="18"/>
          <w:szCs w:val="18"/>
          <w:lang w:val="es-ES_tradnl"/>
        </w:rPr>
        <w:t>6.- CONSIDERACIONES DE LA ADMINISTRACION</w:t>
      </w:r>
      <w:r>
        <w:rPr>
          <w:rFonts w:cs="Arial" w:ascii="Arial" w:hAnsi="Arial"/>
          <w:sz w:val="18"/>
          <w:szCs w:val="18"/>
          <w:lang w:val="es-ES_tradnl"/>
        </w:rPr>
        <w:t>.</w:t>
      </w:r>
    </w:p>
    <w:p>
      <w:pPr>
        <w:pStyle w:val="Normal"/>
        <w:spacing w:lineRule="auto" w:line="240" w:before="0" w:after="0"/>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rPr>
        <w:t xml:space="preserve">El impuesto de </w:t>
      </w:r>
      <w:r>
        <w:rPr>
          <w:rFonts w:cs="Arial" w:ascii="Arial" w:hAnsi="Arial"/>
          <w:sz w:val="18"/>
          <w:szCs w:val="18"/>
          <w:lang w:eastAsia="es-CO"/>
        </w:rPr>
        <w:t>Circulación y Tránsito de vehículos de Servicio Público</w:t>
      </w:r>
      <w:r>
        <w:rPr>
          <w:rFonts w:cs="Arial" w:ascii="Arial" w:hAnsi="Arial"/>
          <w:sz w:val="18"/>
          <w:szCs w:val="18"/>
        </w:rPr>
        <w:t xml:space="preserve"> tiene como base legal, a nivel nacional, </w:t>
      </w:r>
      <w:r>
        <w:rPr>
          <w:rFonts w:cs="Arial" w:ascii="Arial" w:hAnsi="Arial"/>
          <w:sz w:val="18"/>
          <w:szCs w:val="18"/>
          <w:lang w:eastAsia="es-CO"/>
        </w:rPr>
        <w:t xml:space="preserve">las Leyes 97 de 1913, 48 de 1998, 14 de 1983, 33 de 1946, 44 de 1990, 448 de 1998, y el artículo 214 del Decreto Ley 1333 de 1986. </w:t>
      </w:r>
      <w:r>
        <w:rPr>
          <w:rFonts w:cs="Arial" w:ascii="Arial" w:hAnsi="Arial"/>
          <w:sz w:val="18"/>
          <w:szCs w:val="18"/>
        </w:rPr>
        <w:t xml:space="preserve">Dicho tributo se encuentra adoptado en el Municipio de Aguazul en los artículos 166 a 176 </w:t>
      </w:r>
      <w:r>
        <w:rPr>
          <w:rFonts w:cs="Arial" w:ascii="Arial" w:hAnsi="Arial"/>
          <w:sz w:val="18"/>
          <w:szCs w:val="18"/>
          <w:shd w:fill="FFFFFF" w:val="clear"/>
        </w:rPr>
        <w:t xml:space="preserve">del Acuerdo 020 de 2016, en la cual se establece que el hecho generador del tributo es </w:t>
      </w:r>
      <w:r>
        <w:rPr>
          <w:rFonts w:cs="Arial" w:ascii="Arial" w:hAnsi="Arial"/>
          <w:sz w:val="18"/>
          <w:szCs w:val="18"/>
          <w:lang w:eastAsia="es-CO"/>
        </w:rPr>
        <w:t>la circulación o tránsito, de vehículos automotores de servicio público en jurisdicción del Municipio de Aguazul, que se encuentren debidamente matriculados en dicha jurisdicción.</w:t>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lang w:eastAsia="es-CO"/>
        </w:rPr>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lang w:eastAsia="es-CO"/>
        </w:rPr>
        <w:t xml:space="preserve">La prueba principal de dicha propiedad o posesión la otorga la base de datos nacional conocida como </w:t>
      </w:r>
      <w:r>
        <w:rPr>
          <w:rFonts w:cs="Arial" w:ascii="Arial" w:hAnsi="Arial"/>
          <w:b/>
          <w:sz w:val="18"/>
          <w:szCs w:val="18"/>
          <w:lang w:eastAsia="es-CO"/>
        </w:rPr>
        <w:t>REGISTRO ÚNICO NACIONAL DE TRANSPORTE AUTOMOTOR “RUNT”</w:t>
      </w:r>
      <w:r>
        <w:rPr>
          <w:rFonts w:cs="Arial" w:ascii="Arial" w:hAnsi="Arial"/>
          <w:sz w:val="18"/>
          <w:szCs w:val="18"/>
          <w:lang w:eastAsia="es-CO"/>
        </w:rPr>
        <w:t>, en la cual fue localizado la persona investigada como propietaria de un vehículo de servicio público matriculado en la Secretaría de Transito Departamental ubicada en Aguazul.</w:t>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lang w:eastAsia="es-CO"/>
        </w:rPr>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lang w:eastAsia="es-CO"/>
        </w:rPr>
        <w:t>Con base en la prueba obtenida se procedió a expedir Emplazamiento para Declarar a la persona referida, la cual no fue contestada en el término legal de un (1) mes calendario, establecido en la legislación municipal, en concordancia con la nacional.</w:t>
      </w:r>
    </w:p>
    <w:p>
      <w:pPr>
        <w:pStyle w:val="Normal"/>
        <w:spacing w:lineRule="auto" w:line="240" w:before="0" w:after="0"/>
        <w:contextualSpacing/>
        <w:jc w:val="both"/>
        <w:rPr>
          <w:rFonts w:ascii="Arial" w:hAnsi="Arial" w:cs="Arial"/>
          <w:sz w:val="18"/>
          <w:szCs w:val="18"/>
          <w:shd w:fill="FFFFFF" w:val="clear"/>
        </w:rPr>
      </w:pPr>
      <w:r>
        <w:rPr>
          <w:rFonts w:cs="Arial" w:ascii="Arial" w:hAnsi="Arial"/>
          <w:sz w:val="18"/>
          <w:szCs w:val="18"/>
          <w:shd w:fill="FFFFFF" w:val="clear"/>
        </w:rPr>
      </w:r>
    </w:p>
    <w:p>
      <w:pPr>
        <w:pStyle w:val="NormalWeb"/>
        <w:shd w:val="clear" w:color="auto" w:fill="FFFFFF"/>
        <w:spacing w:beforeAutospacing="0" w:before="0" w:afterAutospacing="0" w:after="0"/>
        <w:jc w:val="both"/>
        <w:textAlignment w:val="baseline"/>
        <w:rPr>
          <w:rFonts w:ascii="Arial" w:hAnsi="Arial" w:cs="Arial"/>
          <w:sz w:val="18"/>
          <w:szCs w:val="18"/>
        </w:rPr>
      </w:pPr>
      <w:r>
        <w:rPr>
          <w:rFonts w:cs="Arial" w:ascii="Arial" w:hAnsi="Arial"/>
          <w:sz w:val="18"/>
          <w:szCs w:val="18"/>
        </w:rPr>
        <w:t>Conforme lo anterior, al no desvirtuar las pruebas recaudadas por la Secretaría de Hacienda, frente a la propiedad y el registro del vehículo en la Secretaría de Transito Departamental ubicada en Aguazul, es claro que el investigado es sujeto pasivo del impuesto de Circulación y Tránsito de vehículos de Servicio Público en esta jurisdicción, motivo por el cual le correspondía cumplir la obligación formal de presentar y pagar la declaración, aunada a la sustancial del pago correspondiente.</w:t>
      </w:r>
    </w:p>
    <w:p>
      <w:pPr>
        <w:pStyle w:val="NormalWeb"/>
        <w:shd w:val="clear" w:color="auto" w:fill="FFFFFF"/>
        <w:spacing w:beforeAutospacing="0" w:before="0" w:afterAutospacing="0" w:after="0"/>
        <w:jc w:val="both"/>
        <w:textAlignment w:val="baseline"/>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sz w:val="18"/>
          <w:szCs w:val="18"/>
          <w:lang w:val="es-ES_tradnl"/>
        </w:rPr>
      </w:pPr>
      <w:r>
        <w:rPr>
          <w:rFonts w:cs="Arial" w:ascii="Arial" w:hAnsi="Arial"/>
          <w:b/>
          <w:bCs/>
          <w:sz w:val="18"/>
          <w:szCs w:val="18"/>
          <w:lang w:val="es-ES_tradnl"/>
        </w:rPr>
        <w:t xml:space="preserve">8.- SANCION: </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 xml:space="preserve">De acuerdo a lo estipulado en el artículo 458, numeral 2 del Acuerdo 020 de 2016, la no presentación de la declaración del Impuesto de </w:t>
      </w:r>
      <w:r>
        <w:rPr>
          <w:rFonts w:cs="Arial" w:ascii="Arial" w:hAnsi="Arial"/>
          <w:sz w:val="18"/>
          <w:szCs w:val="18"/>
          <w:lang w:eastAsia="es-CO"/>
        </w:rPr>
        <w:t>Circulación y Tránsito de vehículos de Servicio Público</w:t>
      </w:r>
      <w:r>
        <w:rPr>
          <w:rFonts w:cs="Arial" w:ascii="Arial" w:hAnsi="Arial"/>
          <w:sz w:val="18"/>
          <w:szCs w:val="18"/>
        </w:rPr>
        <w:t xml:space="preserve"> </w:t>
      </w:r>
      <w:r>
        <w:rPr>
          <w:rFonts w:cs="Arial" w:ascii="Arial" w:hAnsi="Arial"/>
          <w:sz w:val="18"/>
          <w:szCs w:val="18"/>
          <w:lang w:val="es-ES_tradnl"/>
        </w:rPr>
        <w:t xml:space="preserve">dentro del término estipulado en el Emplazamiento para Declarar, acarrea la sanción equivalente al diez por ciento (10%) sobre el valor comercial </w:t>
      </w:r>
      <w:r>
        <w:rPr>
          <w:rFonts w:cs="Arial" w:ascii="Arial" w:hAnsi="Arial"/>
          <w:sz w:val="18"/>
          <w:szCs w:val="18"/>
        </w:rPr>
        <w:t>del vehículo determinado por el Ministerio de Transporte</w:t>
      </w:r>
      <w:r>
        <w:rPr>
          <w:rFonts w:cs="Arial" w:ascii="Arial" w:hAnsi="Arial"/>
          <w:sz w:val="18"/>
          <w:szCs w:val="18"/>
          <w:lang w:val="es-ES_tradnl"/>
        </w:rPr>
        <w:t xml:space="preserve"> de la siguiente forma:</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tbl>
      <w:tblPr>
        <w:tblStyle w:val="Tablaconcuadrcula"/>
        <w:tblW w:w="879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970"/>
        <w:gridCol w:w="2520"/>
        <w:gridCol w:w="901"/>
        <w:gridCol w:w="2399"/>
      </w:tblGrid>
      <w:tr>
        <w:trPr/>
        <w:tc>
          <w:tcPr>
            <w:tcW w:w="2970"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CONCEPTO</w:t>
            </w:r>
          </w:p>
        </w:tc>
        <w:tc>
          <w:tcPr>
            <w:tcW w:w="2520"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BASE</w:t>
            </w:r>
          </w:p>
        </w:tc>
        <w:tc>
          <w:tcPr>
            <w:tcW w:w="901"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TARIFA</w:t>
            </w:r>
          </w:p>
        </w:tc>
        <w:tc>
          <w:tcPr>
            <w:tcW w:w="2399"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SANCION IMPUESTA</w:t>
            </w:r>
          </w:p>
        </w:tc>
      </w:tr>
      <w:tr>
        <w:trPr>
          <w:trHeight w:val="716" w:hRule="atLeast"/>
        </w:trPr>
        <w:tc>
          <w:tcPr>
            <w:tcW w:w="2970"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CO" w:eastAsia="en-US" w:bidi="ar-SA"/>
              </w:rPr>
              <w:t>Valor comercial del vehículo determinado por el Ministerio de Transporte</w:t>
            </w:r>
          </w:p>
        </w:tc>
        <w:tc>
          <w:tcPr>
            <w:tcW w:w="2520" w:type="dxa"/>
            <w:tcBorders/>
            <w:vAlign w:val="center"/>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sz w:val="18"/>
                <w:szCs w:val="18"/>
                <w:lang w:val="es-ES_tradnl"/>
              </w:rPr>
              <w:t>750.000,00</w:t>
            </w:r>
          </w:p>
        </w:tc>
        <w:tc>
          <w:tcPr>
            <w:tcW w:w="901" w:type="dxa"/>
            <w:tcBorders/>
            <w:vAlign w:val="center"/>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sz w:val="18"/>
                <w:szCs w:val="18"/>
                <w:lang w:val="es-ES_tradnl"/>
              </w:rPr>
              <w:t>10%</w:t>
            </w:r>
          </w:p>
        </w:tc>
        <w:tc>
          <w:tcPr>
            <w:tcW w:w="2399" w:type="dxa"/>
            <w:tcBorders/>
            <w:vAlign w:val="center"/>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sz w:val="18"/>
                <w:szCs w:val="18"/>
                <w:lang w:val="es-ES_tradnl"/>
              </w:rPr>
              <w:t>3.900.000,00</w:t>
            </w:r>
          </w:p>
        </w:tc>
      </w:tr>
      <w:tr>
        <w:trPr/>
        <w:tc>
          <w:tcPr>
            <w:tcW w:w="8790" w:type="dxa"/>
            <w:gridSpan w:val="4"/>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Son: Tres Millones Novecientos Mil Pesos</w:t>
            </w:r>
          </w:p>
        </w:tc>
      </w:tr>
    </w:tbl>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9.- OPCIONES PARA EL CONTRIBUYENTE.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eastAsia="es-CO"/>
        </w:rPr>
      </w:pPr>
      <w:r>
        <w:rPr>
          <w:rFonts w:cs="Arial" w:ascii="Arial" w:hAnsi="Arial"/>
          <w:sz w:val="18"/>
          <w:szCs w:val="18"/>
          <w:lang w:eastAsia="es-CO"/>
        </w:rPr>
        <w:t xml:space="preserve">Si dentro del término para interponer el </w:t>
      </w:r>
      <w:r>
        <w:rPr>
          <w:rFonts w:cs="Arial" w:ascii="Arial" w:hAnsi="Arial"/>
          <w:b/>
          <w:bCs/>
          <w:sz w:val="18"/>
          <w:szCs w:val="18"/>
          <w:lang w:val="es-ES_tradnl"/>
        </w:rPr>
        <w:t xml:space="preserve">RECURSO DE RECONSIDERACIÓN </w:t>
      </w:r>
      <w:r>
        <w:rPr>
          <w:rFonts w:cs="Arial" w:ascii="Arial" w:hAnsi="Arial"/>
          <w:sz w:val="18"/>
          <w:szCs w:val="18"/>
          <w:lang w:eastAsia="es-CO"/>
        </w:rPr>
        <w:t xml:space="preserve">contra la resolución que impone la sanción por no declarar </w:t>
      </w:r>
      <w:r>
        <w:rPr>
          <w:rFonts w:cs="Arial" w:ascii="Arial" w:hAnsi="Arial"/>
          <w:sz w:val="18"/>
          <w:szCs w:val="18"/>
          <w:lang w:val="es-ES_tradnl"/>
        </w:rPr>
        <w:t>(2 meses posteriores a la notificación)</w:t>
      </w:r>
      <w:r>
        <w:rPr>
          <w:rFonts w:cs="Arial" w:ascii="Arial" w:hAnsi="Arial"/>
          <w:sz w:val="18"/>
          <w:szCs w:val="18"/>
          <w:lang w:eastAsia="es-CO"/>
        </w:rPr>
        <w:t xml:space="preserve">, el contribuyente presenta la declaración, la sanción por no declarar se reducirá al cincuenta por ciento (50%) del valor de la misma, en cuyo caso, el contribuyente, responsable o agente retenedor, deberá liquidarla y pagarla al presentar la declaración tributaria. En todo caso, esta sanción no podrá ser inferior a la </w:t>
      </w:r>
      <w:r>
        <w:rPr>
          <w:rFonts w:cs="Arial" w:ascii="Arial" w:hAnsi="Arial"/>
          <w:bCs/>
          <w:sz w:val="18"/>
          <w:szCs w:val="18"/>
          <w:lang w:val="es-ES_tradnl" w:eastAsia="es-CO"/>
        </w:rPr>
        <w:t>sanción por extemporaneidad en la presentación de las declaraciones con posterioridad al emplazamiento</w:t>
      </w:r>
      <w:r>
        <w:rPr>
          <w:rFonts w:cs="Arial" w:ascii="Arial" w:hAnsi="Arial"/>
          <w:sz w:val="18"/>
          <w:szCs w:val="18"/>
          <w:lang w:eastAsia="es-CO"/>
        </w:rPr>
        <w:t xml:space="preserve">, prevista en el artículo 465 del </w:t>
      </w:r>
      <w:r>
        <w:rPr>
          <w:rFonts w:cs="Arial" w:ascii="Arial" w:hAnsi="Arial"/>
          <w:sz w:val="18"/>
          <w:szCs w:val="18"/>
          <w:lang w:val="es-ES_tradnl"/>
        </w:rPr>
        <w:t>Acuerdo 020 de 2016</w:t>
      </w:r>
      <w:r>
        <w:rPr>
          <w:rFonts w:cs="Arial" w:ascii="Arial" w:hAnsi="Arial"/>
          <w:sz w:val="18"/>
          <w:szCs w:val="18"/>
          <w:lang w:eastAsia="es-CO"/>
        </w:rPr>
        <w:t>, ni a la sanción mínima establecida en el artículo 456 ibidem.</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rPr>
          <w:rFonts w:ascii="Arial" w:hAnsi="Arial" w:cs="Arial"/>
          <w:b/>
          <w:b/>
          <w:bCs/>
          <w:sz w:val="18"/>
          <w:szCs w:val="18"/>
        </w:rPr>
      </w:pPr>
      <w:r>
        <w:rPr>
          <w:rFonts w:cs="Arial" w:ascii="Arial" w:hAnsi="Arial"/>
          <w:b/>
          <w:bCs/>
          <w:sz w:val="18"/>
          <w:szCs w:val="18"/>
        </w:rPr>
        <w:t>10.- PRUEBAS VALORADAS.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En el presente proceso se valoraron las siguientes: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1º.- Consulta al sistema contable Sisoft de la Secretaría de Hacienda de Aguazul y Bases de datos.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2º.- Consulta al Registro Único Nacional Automotor RUNT.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11.- RECURSO PROCEDENTE CONTRA LA PRESENTE RESOLUCION</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 xml:space="preserve">Contra la presente resolución procede el </w:t>
      </w:r>
      <w:r>
        <w:rPr>
          <w:rFonts w:cs="Arial" w:ascii="Arial" w:hAnsi="Arial"/>
          <w:b/>
          <w:bCs/>
          <w:sz w:val="18"/>
          <w:szCs w:val="18"/>
          <w:lang w:val="es-ES_tradnl"/>
        </w:rPr>
        <w:t>RECURSO DE RECONSIDERACIÓN</w:t>
      </w:r>
      <w:r>
        <w:rPr>
          <w:rFonts w:cs="Arial" w:ascii="Arial" w:hAnsi="Arial"/>
          <w:sz w:val="18"/>
          <w:szCs w:val="18"/>
          <w:lang w:val="es-ES_tradnl"/>
        </w:rPr>
        <w:t xml:space="preserve"> dentro del término improrrogable de dos (2) meses siguientes a la notificación del presente acto administrativo, de conformidad con lo dispuesto en el artículo 385 el cual deberá presente ante la Secretaria de Hacienda Municipal cumpliendo los requisitos establecidos en el artículo 387 del estatuto de rentas municipal.</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12.- DIRECCION PARA NOTIFICACIONES</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 xml:space="preserve">Notifíquese al investigado, a la siguiente dirección física o electrónica, tomada del </w:t>
      </w:r>
      <w:r>
        <w:rPr>
          <w:rFonts w:cs="Arial" w:ascii="Arial" w:hAnsi="Arial"/>
          <w:sz w:val="18"/>
          <w:szCs w:val="18"/>
        </w:rPr>
        <w:t>Registro Único Nacional Automotor RUNT / RUES / VUR / Declaraciones presentadas otras vigencias:</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tbl>
      <w:tblPr>
        <w:tblStyle w:val="Tablaconcuadrcula"/>
        <w:tblW w:w="935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62"/>
        <w:gridCol w:w="7088"/>
      </w:tblGrid>
      <w:tr>
        <w:trPr/>
        <w:tc>
          <w:tcPr>
            <w:tcW w:w="2262"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Domicilio Social</w:t>
            </w:r>
          </w:p>
        </w:tc>
        <w:tc>
          <w:tcPr>
            <w:tcW w:w="7088"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carrerra 44 45 47</w:t>
            </w:r>
          </w:p>
        </w:tc>
      </w:tr>
      <w:tr>
        <w:trPr/>
        <w:tc>
          <w:tcPr>
            <w:tcW w:w="2262"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Correo electrónico</w:t>
            </w:r>
          </w:p>
        </w:tc>
        <w:tc>
          <w:tcPr>
            <w:tcW w:w="7088"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a@com.co</w:t>
            </w:r>
          </w:p>
        </w:tc>
      </w:tr>
    </w:tbl>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jc w:val="center"/>
        <w:rPr>
          <w:rFonts w:ascii="Arial" w:hAnsi="Arial" w:cs="Arial"/>
          <w:b/>
          <w:b/>
          <w:sz w:val="18"/>
          <w:szCs w:val="18"/>
          <w:lang w:val="es-ES_tradnl"/>
        </w:rPr>
      </w:pPr>
      <w:r>
        <w:rPr>
          <w:rFonts w:cs="Arial" w:ascii="Arial" w:hAnsi="Arial"/>
          <w:b/>
          <w:sz w:val="18"/>
          <w:szCs w:val="18"/>
          <w:lang w:val="es-ES_tradnl"/>
        </w:rPr>
        <w:t>NOTIFIQUESE Y CÚMPLASE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center"/>
        <w:rPr>
          <w:rFonts w:ascii="Arial Narrow" w:hAnsi="Arial Narrow" w:cs="Arial"/>
          <w:b/>
          <w:b/>
          <w:bCs/>
        </w:rPr>
      </w:pPr>
      <w:bookmarkStart w:id="0" w:name="_GoBack"/>
      <w:bookmarkEnd w:id="0"/>
      <w:r>
        <w:rPr>
          <w:rFonts w:cs="Arial" w:ascii="Arial Narrow" w:hAnsi="Arial Narrow"/>
          <w:b/>
          <w:bCs/>
        </w:rPr>
        <w:t>YENNY CAROLINA CARDENAS GARCIA</w:t>
      </w:r>
    </w:p>
    <w:p>
      <w:pPr>
        <w:pStyle w:val="Normal"/>
        <w:spacing w:lineRule="auto" w:line="240" w:before="0" w:after="0"/>
        <w:jc w:val="center"/>
        <w:rPr>
          <w:rFonts w:ascii="Arial Narrow" w:hAnsi="Arial Narrow" w:cs="Arial"/>
        </w:rPr>
      </w:pPr>
      <w:r>
        <w:rPr>
          <w:rFonts w:cs="Arial" w:ascii="Arial Narrow" w:hAnsi="Arial Narrow"/>
        </w:rPr>
        <w:t>Secretaria de Hacienda.</w:t>
      </w:r>
    </w:p>
    <w:p>
      <w:pPr>
        <w:pStyle w:val="Normal"/>
        <w:spacing w:lineRule="auto" w:line="240" w:before="0" w:after="0"/>
        <w:ind w:left="708" w:hanging="708"/>
        <w:jc w:val="center"/>
        <w:rPr>
          <w:rFonts w:ascii="Arial Narrow" w:hAnsi="Arial Narrow" w:cs="Arial"/>
        </w:rPr>
      </w:pPr>
      <w:r>
        <w:rPr>
          <w:rFonts w:cs="Arial" w:ascii="Arial Narrow" w:hAnsi="Arial Narrow"/>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tbl>
      <w:tblPr>
        <w:tblStyle w:val="Tablaconcuadrcula"/>
        <w:tblW w:w="90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36"/>
        <w:gridCol w:w="420"/>
        <w:gridCol w:w="4116"/>
      </w:tblGrid>
      <w:tr>
        <w:trPr/>
        <w:tc>
          <w:tcPr>
            <w:tcW w:w="4536" w:type="dxa"/>
            <w:tcBorders>
              <w:top w:val="nil"/>
              <w:left w:val="nil"/>
              <w:bottom w:val="nil"/>
              <w:right w:val="nil"/>
            </w:tcBorders>
          </w:tcPr>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Elaboró y Aprobó: </w:t>
            </w:r>
            <w:r>
              <w:rPr>
                <w:rFonts w:cs="Arial" w:ascii="Arial Narrow" w:hAnsi="Arial Narrow"/>
                <w:b/>
                <w:bCs/>
                <w:kern w:val="0"/>
                <w:sz w:val="14"/>
                <w:szCs w:val="14"/>
                <w:lang w:val="es-CO" w:eastAsia="en-US" w:bidi="ar-SA"/>
              </w:rPr>
              <w:t>NURY ESMERALDA RODRÍGUEZ BUITRAGO</w:t>
            </w:r>
          </w:p>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Profesional Universitario de Rentas                                                            </w:t>
            </w:r>
          </w:p>
        </w:tc>
        <w:tc>
          <w:tcPr>
            <w:tcW w:w="420" w:type="dxa"/>
            <w:tcBorders>
              <w:top w:val="nil"/>
              <w:left w:val="nil"/>
              <w:bottom w:val="nil"/>
              <w:right w:val="nil"/>
            </w:tcBorders>
          </w:tcPr>
          <w:p>
            <w:pPr>
              <w:pStyle w:val="Normal"/>
              <w:widowControl w:val="false"/>
              <w:suppressAutoHyphens w:val="true"/>
              <w:spacing w:before="0" w:after="200"/>
              <w:jc w:val="both"/>
              <w:rPr>
                <w:rFonts w:ascii="Arial Narrow" w:hAnsi="Arial Narrow" w:cs="Arial"/>
                <w:sz w:val="14"/>
                <w:szCs w:val="14"/>
              </w:rPr>
            </w:pPr>
            <w:r>
              <w:rPr>
                <w:rFonts w:cs="Arial" w:ascii="Arial Narrow" w:hAnsi="Arial Narrow"/>
                <w:sz w:val="14"/>
                <w:szCs w:val="14"/>
              </w:rPr>
            </w:r>
          </w:p>
        </w:tc>
        <w:tc>
          <w:tcPr>
            <w:tcW w:w="4116" w:type="dxa"/>
            <w:tcBorders>
              <w:top w:val="nil"/>
              <w:left w:val="nil"/>
              <w:bottom w:val="nil"/>
              <w:right w:val="nil"/>
            </w:tcBorders>
          </w:tcPr>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Revisión Jurídica: </w:t>
            </w:r>
            <w:r>
              <w:rPr>
                <w:rFonts w:cs="Arial" w:ascii="Arial Narrow" w:hAnsi="Arial Narrow"/>
                <w:b/>
                <w:kern w:val="0"/>
                <w:sz w:val="14"/>
                <w:szCs w:val="14"/>
                <w:lang w:val="es-CO" w:eastAsia="en-US" w:bidi="ar-SA"/>
              </w:rPr>
              <w:t>CARLOS RAFAEL AVELLA PEREZ</w:t>
            </w:r>
          </w:p>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Profesional contratado Secretaría de Hacienda</w:t>
            </w:r>
          </w:p>
        </w:tc>
      </w:tr>
    </w:tbl>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numPr>
          <w:ilvl w:val="0"/>
          <w:numId w:val="0"/>
        </w:numPr>
        <w:spacing w:lineRule="auto" w:line="240" w:beforeAutospacing="1" w:afterAutospacing="1"/>
        <w:ind w:left="0" w:hanging="0"/>
        <w:contextualSpacing/>
        <w:outlineLvl w:val="0"/>
        <w:rPr>
          <w:rFonts w:ascii="Arial Narrow" w:hAnsi="Arial Narrow" w:cs="Arial"/>
          <w:sz w:val="16"/>
          <w:szCs w:val="16"/>
          <w:shd w:fill="FFFFFF" w:val="clear"/>
          <w:lang w:val="es-ES_tradnl"/>
        </w:rPr>
      </w:pPr>
      <w:r>
        <w:rPr>
          <w:rFonts w:cs="Arial" w:ascii="Arial Narrow" w:hAnsi="Arial Narrow"/>
          <w:sz w:val="16"/>
          <w:szCs w:val="16"/>
          <w:shd w:fill="FFFFFF" w:val="clear"/>
          <w:lang w:val="es-ES_tradnl"/>
        </w:rPr>
        <w:t xml:space="preserve">Apoyo en la elaboración: </w:t>
      </w:r>
      <w:r>
        <w:rPr>
          <w:rFonts w:cs="Arial" w:ascii="Arial Narrow" w:hAnsi="Arial Narrow"/>
          <w:sz w:val="16"/>
          <w:szCs w:val="16"/>
          <w:shd w:fill="auto" w:val="clear"/>
          <w:lang w:val="es-ES_tradnl"/>
        </w:rPr>
        <w:t>SISTEMA SISTEMA</w:t>
      </w:r>
    </w:p>
    <w:p>
      <w:pPr>
        <w:pStyle w:val="Normal"/>
        <w:numPr>
          <w:ilvl w:val="0"/>
          <w:numId w:val="0"/>
        </w:numPr>
        <w:spacing w:lineRule="auto" w:line="240" w:beforeAutospacing="1" w:afterAutospacing="1"/>
        <w:ind w:left="0" w:hanging="0"/>
        <w:contextualSpacing/>
        <w:outlineLvl w:val="0"/>
        <w:rPr>
          <w:rFonts w:ascii="Arial Narrow" w:hAnsi="Arial Narrow" w:cs="Arial"/>
          <w:sz w:val="20"/>
          <w:szCs w:val="20"/>
        </w:rPr>
      </w:pPr>
      <w:r>
        <w:rPr>
          <w:rFonts w:cs="Arial" w:ascii="Arial Narrow" w:hAnsi="Arial Narrow"/>
          <w:sz w:val="16"/>
          <w:szCs w:val="16"/>
          <w:shd w:fill="FFFFFF" w:val="clear"/>
          <w:lang w:val="es-ES_tradnl"/>
        </w:rPr>
        <w:t>Profesional Contratado Secretaría de Hacienda</w:t>
      </w:r>
    </w:p>
    <w:sectPr>
      <w:headerReference w:type="default" r:id="rId2"/>
      <w:footerReference w:type="default" r:id="rId3"/>
      <w:type w:val="nextPage"/>
      <w:pgSz w:w="12240" w:h="15840"/>
      <w:pgMar w:left="1418" w:right="1467" w:gutter="0" w:header="709" w:top="1418" w:footer="284" w:bottom="1418"/>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 w:name="Avenir Next LT Pro">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inline distT="0" distB="0" distL="0" distR="0">
          <wp:extent cx="5953125" cy="638175"/>
          <wp:effectExtent l="0" t="0" r="0" b="0"/>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tretch>
                    <a:fillRect/>
                  </a:stretch>
                </pic:blipFill>
                <pic:spPr bwMode="auto">
                  <a:xfrm>
                    <a:off x="0" y="0"/>
                    <a:ext cx="5953125" cy="63817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35"/>
      <w:gridCol w:w="2895"/>
      <w:gridCol w:w="2065"/>
      <w:gridCol w:w="2126"/>
    </w:tblGrid>
    <w:tr>
      <w:trPr>
        <w:trHeight w:val="416" w:hRule="atLeast"/>
      </w:trPr>
      <w:tc>
        <w:tcPr>
          <w:tcW w:w="9321" w:type="dxa"/>
          <w:gridSpan w:val="4"/>
          <w:tcBorders/>
          <w:vAlign w:val="center"/>
        </w:tcPr>
        <w:p>
          <w:pPr>
            <w:pStyle w:val="Header"/>
            <w:widowControl w:val="false"/>
            <w:suppressAutoHyphens w:val="true"/>
            <w:spacing w:beforeAutospacing="1" w:after="0"/>
            <w:jc w:val="center"/>
            <w:rPr>
              <w:rFonts w:ascii="Arial" w:hAnsi="Arial" w:cs="Arial"/>
              <w:b/>
              <w:b/>
              <w:lang w:val="es-ES" w:eastAsia="es-ES"/>
            </w:rPr>
          </w:pPr>
          <w:r>
            <w:rPr>
              <w:rFonts w:cs="Arial" w:ascii="Arial" w:hAnsi="Arial"/>
              <w:b/>
              <w:kern w:val="0"/>
              <w:sz w:val="22"/>
              <w:szCs w:val="22"/>
              <w:lang w:val="es-CO" w:eastAsia="en-US" w:bidi="ar-SA"/>
            </w:rPr>
            <w:t>PROCESO GESTIÓN DOCUMENTAL Y ATENCIÓN AL CIUDADANO</w:t>
          </w:r>
        </w:p>
      </w:tc>
    </w:tr>
    <w:tr>
      <w:trPr>
        <w:trHeight w:val="685" w:hRule="atLeast"/>
      </w:trPr>
      <w:tc>
        <w:tcPr>
          <w:tcW w:w="2235" w:type="dxa"/>
          <w:vMerge w:val="restart"/>
          <w:tcBorders/>
        </w:tcPr>
        <w:p>
          <w:pPr>
            <w:pStyle w:val="Header"/>
            <w:widowControl w:val="false"/>
            <w:suppressAutoHyphens w:val="true"/>
            <w:spacing w:beforeAutospacing="1" w:after="0"/>
            <w:jc w:val="left"/>
            <w:rPr>
              <w:rFonts w:ascii="AvenirNext LT Pro Regular" w:hAnsi="AvenirNext LT Pro Regular" w:cs="Arial"/>
            </w:rPr>
          </w:pPr>
          <w:r>
            <w:rPr>
              <w:rFonts w:cs="Arial" w:ascii="AvenirNext LT Pro Regular" w:hAnsi="AvenirNext LT Pro Regular"/>
            </w:rPr>
            <w:drawing>
              <wp:anchor behindDoc="0" distT="0" distB="0" distL="114300" distR="114300" simplePos="0" locked="0" layoutInCell="1" allowOverlap="1" relativeHeight="25">
                <wp:simplePos x="0" y="0"/>
                <wp:positionH relativeFrom="column">
                  <wp:posOffset>228600</wp:posOffset>
                </wp:positionH>
                <wp:positionV relativeFrom="paragraph">
                  <wp:posOffset>44450</wp:posOffset>
                </wp:positionV>
                <wp:extent cx="638175" cy="504825"/>
                <wp:effectExtent l="0" t="0" r="0" b="0"/>
                <wp:wrapTight wrapText="bothSides">
                  <wp:wrapPolygon edited="0">
                    <wp:start x="-54" y="0"/>
                    <wp:lineTo x="-54" y="20719"/>
                    <wp:lineTo x="20885" y="20719"/>
                    <wp:lineTo x="20885" y="0"/>
                    <wp:lineTo x="-54" y="0"/>
                  </wp:wrapPolygon>
                </wp:wrapTight>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638175" cy="504825"/>
                        </a:xfrm>
                        <a:prstGeom prst="rect">
                          <a:avLst/>
                        </a:prstGeom>
                      </pic:spPr>
                    </pic:pic>
                  </a:graphicData>
                </a:graphic>
              </wp:anchor>
            </w:drawing>
          </w:r>
        </w:p>
      </w:tc>
      <w:tc>
        <w:tcPr>
          <w:tcW w:w="4960" w:type="dxa"/>
          <w:gridSpan w:val="2"/>
          <w:tcBorders/>
          <w:vAlign w:val="center"/>
        </w:tcPr>
        <w:p>
          <w:pPr>
            <w:pStyle w:val="Header"/>
            <w:widowControl w:val="false"/>
            <w:suppressAutoHyphens w:val="true"/>
            <w:spacing w:beforeAutospacing="1" w:after="0"/>
            <w:jc w:val="center"/>
            <w:rPr>
              <w:rFonts w:ascii="Arial" w:hAnsi="Arial" w:cs="Arial"/>
              <w:b/>
              <w:b/>
              <w:sz w:val="24"/>
              <w:szCs w:val="24"/>
            </w:rPr>
          </w:pPr>
          <w:r>
            <w:rPr>
              <w:rFonts w:cs="Arial" w:ascii="Arial" w:hAnsi="Arial"/>
              <w:b/>
              <w:kern w:val="0"/>
              <w:sz w:val="24"/>
              <w:szCs w:val="24"/>
              <w:lang w:val="es-CO" w:eastAsia="en-US" w:bidi="ar-SA"/>
            </w:rPr>
            <w:t>RESOLUCIÓN</w:t>
          </w:r>
        </w:p>
      </w:tc>
      <w:tc>
        <w:tcPr>
          <w:tcW w:w="2126" w:type="dxa"/>
          <w:vMerge w:val="restart"/>
          <w:tcBorders/>
        </w:tcPr>
        <w:p>
          <w:pPr>
            <w:pStyle w:val="Header"/>
            <w:widowControl w:val="false"/>
            <w:suppressAutoHyphens w:val="true"/>
            <w:spacing w:beforeAutospacing="1" w:after="0"/>
            <w:jc w:val="left"/>
            <w:rPr>
              <w:rFonts w:ascii="AvenirNext LT Pro Regular" w:hAnsi="AvenirNext LT Pro Regular" w:cs="Arial"/>
            </w:rPr>
          </w:pPr>
          <w:r>
            <w:rPr>
              <w:rFonts w:cs="Arial" w:ascii="AvenirNext LT Pro Regular" w:hAnsi="AvenirNext LT Pro Regular"/>
            </w:rPr>
            <w:drawing>
              <wp:anchor behindDoc="1" distT="0" distB="0" distL="0" distR="0" simplePos="0" locked="0" layoutInCell="1" allowOverlap="1" relativeHeight="9">
                <wp:simplePos x="0" y="0"/>
                <wp:positionH relativeFrom="column">
                  <wp:posOffset>326390</wp:posOffset>
                </wp:positionH>
                <wp:positionV relativeFrom="page">
                  <wp:posOffset>44450</wp:posOffset>
                </wp:positionV>
                <wp:extent cx="679450" cy="533400"/>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2"/>
                        <a:stretch>
                          <a:fillRect/>
                        </a:stretch>
                      </pic:blipFill>
                      <pic:spPr bwMode="auto">
                        <a:xfrm>
                          <a:off x="0" y="0"/>
                          <a:ext cx="679450" cy="533400"/>
                        </a:xfrm>
                        <a:prstGeom prst="rect">
                          <a:avLst/>
                        </a:prstGeom>
                      </pic:spPr>
                    </pic:pic>
                  </a:graphicData>
                </a:graphic>
              </wp:anchor>
            </w:drawing>
          </w:r>
        </w:p>
      </w:tc>
    </w:tr>
    <w:tr>
      <w:trPr>
        <w:trHeight w:val="283" w:hRule="atLeast"/>
      </w:trPr>
      <w:tc>
        <w:tcPr>
          <w:tcW w:w="2235" w:type="dxa"/>
          <w:vMerge w:val="continue"/>
          <w:tcBorders/>
        </w:tcPr>
        <w:p>
          <w:pPr>
            <w:pStyle w:val="Header"/>
            <w:widowControl w:val="false"/>
            <w:suppressAutoHyphens w:val="true"/>
            <w:spacing w:beforeAutospacing="1" w:after="0"/>
            <w:jc w:val="left"/>
            <w:rPr>
              <w:rFonts w:ascii="AvenirNext LT Pro Regular" w:hAnsi="AvenirNext LT Pro Regular" w:cs="Arial"/>
              <w:lang w:val="es-ES" w:eastAsia="es-ES"/>
            </w:rPr>
          </w:pPr>
          <w:r>
            <w:rPr>
              <w:rFonts w:cs="Arial" w:ascii="AvenirNext LT Pro Regular" w:hAnsi="AvenirNext LT Pro Regular"/>
              <w:lang w:val="es-ES" w:eastAsia="es-ES"/>
            </w:rPr>
          </w:r>
        </w:p>
      </w:tc>
      <w:tc>
        <w:tcPr>
          <w:tcW w:w="2895" w:type="dxa"/>
          <w:tcBorders/>
          <w:vAlign w:val="center"/>
        </w:tcPr>
        <w:p>
          <w:pPr>
            <w:pStyle w:val="Footer"/>
            <w:widowControl w:val="false"/>
            <w:suppressAutoHyphens w:val="true"/>
            <w:spacing w:before="0" w:after="0"/>
            <w:jc w:val="center"/>
            <w:rPr>
              <w:rFonts w:ascii="Arial" w:hAnsi="Arial" w:cs="Arial"/>
            </w:rPr>
          </w:pPr>
          <w:r>
            <w:rPr>
              <w:rFonts w:cs="Arial" w:ascii="Arial" w:hAnsi="Arial"/>
              <w:kern w:val="0"/>
              <w:sz w:val="22"/>
              <w:szCs w:val="22"/>
              <w:lang w:val="es-CO" w:eastAsia="en-US" w:bidi="ar-SA"/>
            </w:rPr>
            <w:t>Código: A-GDAC-F-21</w:t>
          </w:r>
        </w:p>
      </w:tc>
      <w:tc>
        <w:tcPr>
          <w:tcW w:w="2065" w:type="dxa"/>
          <w:tcBorders/>
          <w:vAlign w:val="center"/>
        </w:tcPr>
        <w:p>
          <w:pPr>
            <w:pStyle w:val="Header"/>
            <w:widowControl w:val="false"/>
            <w:suppressAutoHyphens w:val="true"/>
            <w:spacing w:before="0" w:after="0"/>
            <w:jc w:val="center"/>
            <w:rPr>
              <w:rFonts w:ascii="Arial" w:hAnsi="Arial" w:cs="Arial"/>
            </w:rPr>
          </w:pPr>
          <w:r>
            <w:rPr>
              <w:rFonts w:cs="Arial" w:ascii="Arial" w:hAnsi="Arial"/>
              <w:kern w:val="0"/>
              <w:sz w:val="22"/>
              <w:szCs w:val="22"/>
              <w:lang w:val="es-CO" w:eastAsia="en-US" w:bidi="ar-SA"/>
            </w:rPr>
            <w:t>Versión: 02</w:t>
          </w:r>
        </w:p>
      </w:tc>
      <w:tc>
        <w:tcPr>
          <w:tcW w:w="2126" w:type="dxa"/>
          <w:vMerge w:val="continue"/>
          <w:tcBorders/>
        </w:tcPr>
        <w:p>
          <w:pPr>
            <w:pStyle w:val="Header"/>
            <w:widowControl w:val="false"/>
            <w:suppressAutoHyphens w:val="true"/>
            <w:spacing w:beforeAutospacing="1" w:after="0"/>
            <w:jc w:val="left"/>
            <w:rPr>
              <w:rFonts w:ascii="AvenirNext LT Pro Regular" w:hAnsi="AvenirNext LT Pro Regular" w:cs="Arial"/>
              <w:lang w:val="es-ES" w:eastAsia="es-ES"/>
            </w:rPr>
          </w:pPr>
          <w:r>
            <w:rPr>
              <w:rFonts w:cs="Arial" w:ascii="AvenirNext LT Pro Regular" w:hAnsi="AvenirNext LT Pro Regular"/>
              <w:lang w:val="es-ES" w:eastAsia="es-ES"/>
            </w:rPr>
          </w:r>
        </w:p>
      </w:tc>
    </w:tr>
    <w:tr>
      <w:trPr>
        <w:trHeight w:val="305" w:hRule="atLeast"/>
      </w:trPr>
      <w:tc>
        <w:tcPr>
          <w:tcW w:w="9321" w:type="dxa"/>
          <w:gridSpan w:val="4"/>
          <w:tcBorders/>
        </w:tcPr>
        <w:p>
          <w:pPr>
            <w:pStyle w:val="Footer"/>
            <w:widowControl w:val="false"/>
            <w:suppressAutoHyphens w:val="true"/>
            <w:spacing w:beforeAutospacing="1" w:after="0"/>
            <w:jc w:val="center"/>
            <w:rPr>
              <w:rFonts w:ascii="Arial" w:hAnsi="Arial" w:cs="Arial"/>
            </w:rPr>
          </w:pPr>
          <w:r>
            <w:rPr>
              <w:rFonts w:cs="Arial" w:ascii="Arial" w:hAnsi="Arial"/>
              <w:kern w:val="0"/>
              <w:sz w:val="22"/>
              <w:szCs w:val="22"/>
              <w:lang w:val="es-CO" w:eastAsia="en-US" w:bidi="ar-SA"/>
            </w:rPr>
            <w:t xml:space="preserve">Vigente: Resolución No. 001 del 02 de enero del 2024 </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
    <w:lvlOverride w:ilvl="0">
      <w:startOverride w:val="1"/>
    </w:lvlOverride>
  </w:num>
  <w:num w:numId="8">
    <w:abstractNumId w:val="1"/>
  </w:num>
  <w:num w:numId="9">
    <w:abstractNumId w:val="1"/>
  </w:num>
  <w:num w:numId="10">
    <w:abstractNumId w:val="1"/>
  </w:num>
  <w:num w:numId="11">
    <w:abstractNumId w:val="1"/>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636d2"/>
    <w:pPr>
      <w:widowControl/>
      <w:suppressAutoHyphens w:val="true"/>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a803c8"/>
    <w:rPr/>
  </w:style>
  <w:style w:type="character" w:styleId="PiedepginaCar" w:customStyle="1">
    <w:name w:val="Pie de página Car"/>
    <w:basedOn w:val="DefaultParagraphFont"/>
    <w:link w:val="Footer"/>
    <w:uiPriority w:val="99"/>
    <w:qFormat/>
    <w:rsid w:val="00a803c8"/>
    <w:rPr/>
  </w:style>
  <w:style w:type="character" w:styleId="TextoindependienteCar" w:customStyle="1">
    <w:name w:val="Texto independiente Car"/>
    <w:basedOn w:val="DefaultParagraphFont"/>
    <w:uiPriority w:val="99"/>
    <w:qFormat/>
    <w:rsid w:val="006331f8"/>
    <w:rPr>
      <w:rFonts w:ascii="Times New Roman" w:hAnsi="Times New Roman" w:eastAsia="Times New Roman" w:cs="Times New Roman"/>
      <w:sz w:val="24"/>
      <w:szCs w:val="24"/>
      <w:lang w:val="es-ES" w:eastAsia="es-ES"/>
    </w:rPr>
  </w:style>
  <w:style w:type="character" w:styleId="SinespaciadoCar" w:customStyle="1">
    <w:name w:val="Sin espaciado Car"/>
    <w:basedOn w:val="DefaultParagraphFont"/>
    <w:link w:val="NoSpacing"/>
    <w:uiPriority w:val="1"/>
    <w:qFormat/>
    <w:locked/>
    <w:rsid w:val="009636d2"/>
    <w:rPr>
      <w:lang w:val="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6331f8"/>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link w:val="SinespaciadoCar"/>
    <w:uiPriority w:val="1"/>
    <w:qFormat/>
    <w:rsid w:val="00810802"/>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erandFooter">
    <w:name w:val="Header and Footer"/>
    <w:basedOn w:val="Normal"/>
    <w:qFormat/>
    <w:pPr/>
    <w:rPr/>
  </w:style>
  <w:style w:type="paragraph" w:styleId="Header">
    <w:name w:val="Header"/>
    <w:basedOn w:val="Normal"/>
    <w:link w:val="EncabezadoCar"/>
    <w:uiPriority w:val="99"/>
    <w:unhideWhenUsed/>
    <w:rsid w:val="00a803c8"/>
    <w:pPr>
      <w:tabs>
        <w:tab w:val="clear" w:pos="708"/>
        <w:tab w:val="center" w:pos="4419" w:leader="none"/>
        <w:tab w:val="right" w:pos="8838" w:leader="none"/>
      </w:tabs>
      <w:spacing w:lineRule="auto" w:line="240" w:before="0" w:after="0"/>
    </w:pPr>
    <w:rPr/>
  </w:style>
  <w:style w:type="paragraph" w:styleId="Footer">
    <w:name w:val="Footer"/>
    <w:basedOn w:val="Normal"/>
    <w:link w:val="PiedepginaCar"/>
    <w:uiPriority w:val="99"/>
    <w:unhideWhenUsed/>
    <w:rsid w:val="00a803c8"/>
    <w:pPr>
      <w:tabs>
        <w:tab w:val="clear" w:pos="708"/>
        <w:tab w:val="center" w:pos="4419" w:leader="none"/>
        <w:tab w:val="right" w:pos="8838" w:leader="none"/>
      </w:tabs>
      <w:spacing w:lineRule="auto" w:line="240" w:before="0" w:after="0"/>
    </w:pPr>
    <w:rPr/>
  </w:style>
  <w:style w:type="paragraph" w:styleId="NormalWeb">
    <w:name w:val="Normal (Web)"/>
    <w:basedOn w:val="Normal"/>
    <w:uiPriority w:val="99"/>
    <w:qFormat/>
    <w:rsid w:val="006331f8"/>
    <w:pPr>
      <w:spacing w:lineRule="auto" w:line="240" w:beforeAutospacing="1" w:afterAutospacing="1"/>
    </w:pPr>
    <w:rPr>
      <w:rFonts w:ascii="Times New Roman" w:hAnsi="Times New Roman" w:eastAsia="Times New Roman" w:cs="Times New Roman"/>
      <w:sz w:val="24"/>
      <w:szCs w:val="24"/>
      <w:lang w:eastAsia="es-CO"/>
    </w:rPr>
  </w:style>
  <w:style w:type="paragraph" w:styleId="ListParagraph">
    <w:name w:val="List Paragraph"/>
    <w:basedOn w:val="Normal"/>
    <w:uiPriority w:val="34"/>
    <w:qFormat/>
    <w:rsid w:val="009636d2"/>
    <w:pPr>
      <w:ind w:left="708" w:hanging="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1080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Application>LibreOffice/7.3.7.2$Linux_X86_64 LibreOffice_project/30$Build-2</Application>
  <AppVersion>15.0000</AppVersion>
  <Pages>11</Pages>
  <Words>1841</Words>
  <Characters>11173</Characters>
  <CharactersWithSpaces>12967</CharactersWithSpaces>
  <Paragraphs>167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2024-05-31T14:12:00Z</dcterms:created>
  <dc:creator>Apoyo SGI-MIPG</dc:creator>
  <dc:description/>
  <dc:language>es-CO</dc:language>
  <cp:lastModifiedBy/>
  <dcterms:modified xsi:type="dcterms:W3CDTF">2024-07-04T14:33:59Z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