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4354</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XZJ339</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4354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HECTOR  MONTAÑA </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1129239</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HECTOR  MONTAÑA  la N/A de la ciudad de N/A departamento de ,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