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7361269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SALOMON  LOPEZ LEMUS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1200.180.3.0007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2024-05-15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VEHÍCULOS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2024-05-15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