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2.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Arial" w:hAnsi="Arial" w:cs="Arial"/>
          <w:b/>
          <w:b/>
          <w:i/>
          <w:i/>
          <w:sz w:val="18"/>
          <w:szCs w:val="18"/>
          <w:lang w:val="es-ES_tradnl"/>
        </w:rPr>
      </w:pPr>
      <w:r>
        <w:rPr>
          <w:rFonts w:cs="Arial" w:ascii="Arial" w:hAnsi="Arial"/>
          <w:b/>
          <w:i/>
          <w:sz w:val="18"/>
          <w:szCs w:val="18"/>
          <w:lang w:val="es-ES_tradnl"/>
        </w:rPr>
        <w:t xml:space="preserve">RESOLUCIÓN No. </w:t>
      </w:r>
      <w:r>
        <w:rPr>
          <w:rFonts w:cs="Arial" w:ascii="Arial" w:hAnsi="Arial"/>
          <w:b/>
          <w:i/>
          <w:sz w:val="18"/>
          <w:szCs w:val="18"/>
          <w:lang w:val="es-ES_tradnl"/>
        </w:rPr>
        <w:t>001</w:t>
      </w:r>
      <w:r>
        <w:rPr>
          <w:rFonts w:cs="Arial" w:ascii="Arial" w:hAnsi="Arial"/>
          <w:b/>
          <w:i/>
          <w:sz w:val="18"/>
          <w:szCs w:val="18"/>
          <w:lang w:val="es-ES_tradnl"/>
        </w:rPr>
        <w:t xml:space="preserve"> de Fecha </w:t>
      </w:r>
      <w:r>
        <w:rPr>
          <w:rFonts w:cs="Arial" w:ascii="Arial" w:hAnsi="Arial"/>
          <w:b/>
          <w:i/>
          <w:sz w:val="18"/>
          <w:szCs w:val="18"/>
          <w:lang w:val="es-ES_tradnl"/>
        </w:rPr>
        <w:t>25 de Junio de 2024</w:t>
      </w:r>
    </w:p>
    <w:p>
      <w:pPr>
        <w:pStyle w:val="Normal"/>
        <w:spacing w:lineRule="auto" w:line="240" w:before="0" w:after="0"/>
        <w:jc w:val="right"/>
        <w:rPr>
          <w:rFonts w:ascii="Arial" w:hAnsi="Arial" w:cs="Arial"/>
          <w:i/>
          <w:i/>
          <w:sz w:val="18"/>
          <w:szCs w:val="18"/>
          <w:lang w:val="es-ES_tradnl"/>
        </w:rPr>
      </w:pPr>
      <w:r>
        <w:rPr>
          <w:rFonts w:cs="Arial" w:ascii="Arial" w:hAnsi="Arial"/>
          <w:i/>
          <w:sz w:val="18"/>
          <w:szCs w:val="18"/>
          <w:lang w:val="es-ES_tradnl"/>
        </w:rPr>
      </w:r>
    </w:p>
    <w:p>
      <w:pPr>
        <w:pStyle w:val="Normal"/>
        <w:spacing w:lineRule="auto" w:line="240" w:before="0" w:after="0"/>
        <w:jc w:val="both"/>
        <w:rPr>
          <w:rFonts w:ascii="Arial" w:hAnsi="Arial" w:cs="Arial"/>
          <w:bCs/>
          <w:sz w:val="18"/>
          <w:szCs w:val="18"/>
          <w:lang w:val="es-ES_tradnl"/>
        </w:rPr>
      </w:pPr>
      <w:r>
        <w:rPr>
          <w:rFonts w:cs="Arial" w:ascii="Arial" w:hAnsi="Arial"/>
          <w:i/>
          <w:sz w:val="18"/>
          <w:szCs w:val="18"/>
          <w:lang w:val="es-ES_tradnl"/>
        </w:rPr>
        <w:t>Por la cual se expide una Sanción del Impuesto de Circulación y Tránsito de Vehículos de Servicio Público</w:t>
      </w:r>
    </w:p>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tbl>
      <w:tblPr>
        <w:tblStyle w:val="Tablaconcuadrcula"/>
        <w:tblpPr w:bottomFromText="0" w:horzAnchor="margin" w:leftFromText="141" w:rightFromText="141" w:tblpX="0" w:tblpY="3931" w:topFromText="0" w:vertAnchor="page"/>
        <w:tblW w:w="9351"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973"/>
        <w:gridCol w:w="7377"/>
      </w:tblGrid>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003</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POLICARPO GALINDO</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1118548845</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IMPUESTO DE CIRCULACIÓN Y TRÁNSITO DE VEHÍCULOS</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ZKG305</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377" w:type="dxa"/>
            <w:tcBorders>
              <w:right w:val="single" w:sz="12" w:space="0" w:color="000000"/>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kern w:val="0"/>
                <w:sz w:val="22"/>
                <w:szCs w:val="22"/>
                <w:lang w:val="es-CO" w:eastAsia="en-US" w:bidi="ar-SA"/>
              </w:rPr>
              <w:t>calle x</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AGUAZUL, CASANARE</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0,3123091717,0,3123091717</w:t>
            </w:r>
          </w:p>
        </w:tc>
      </w:tr>
      <w:tr>
        <w:trPr/>
        <w:tc>
          <w:tcPr>
            <w:tcW w:w="1973" w:type="dxa"/>
            <w:tcBorders>
              <w:bottom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377" w:type="dxa"/>
            <w:tcBorders>
              <w:bottom w:val="single" w:sz="12" w:space="0" w:color="000000"/>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otr@gmail.com,jkadael@gmail.com,otr@gmail.com,jkadael@gmail.com</w:t>
            </w:r>
          </w:p>
        </w:tc>
      </w:tr>
    </w:tbl>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Cs/>
          <w:sz w:val="18"/>
          <w:szCs w:val="18"/>
          <w:lang w:val="es-ES_tradnl"/>
        </w:rPr>
        <w:t xml:space="preserve">La Secretaria de Hacienda del Municipio de Aguazul (Casanare), en uso de sus atribuciones legales y especialmente las conferidas por los </w:t>
      </w:r>
      <w:r>
        <w:rPr>
          <w:rFonts w:cs="Arial" w:ascii="Arial" w:hAnsi="Arial"/>
          <w:sz w:val="18"/>
          <w:szCs w:val="18"/>
        </w:rPr>
        <w:t>artículos 5, 166 a 176, 348, 350, 352, 353, 355 y 458 del Acuerdo 020 del 21 de diciembre de 2016, y</w:t>
      </w:r>
    </w:p>
    <w:p>
      <w:pPr>
        <w:pStyle w:val="NormalWeb"/>
        <w:spacing w:beforeAutospacing="0" w:before="0" w:afterAutospacing="0" w:after="0"/>
        <w:jc w:val="center"/>
        <w:rPr>
          <w:rFonts w:ascii="Arial" w:hAnsi="Arial" w:cs="Arial"/>
          <w:bCs/>
          <w:sz w:val="18"/>
          <w:szCs w:val="18"/>
          <w:lang w:val="es-ES_tradnl"/>
        </w:rPr>
      </w:pPr>
      <w:r>
        <w:rPr>
          <w:rFonts w:cs="Arial" w:ascii="Arial" w:hAnsi="Arial"/>
          <w:b/>
          <w:bCs/>
          <w:sz w:val="18"/>
          <w:szCs w:val="18"/>
          <w:lang w:val="es-ES_tradnl"/>
        </w:rPr>
        <w:t>CONSIDERANDO QUE</w:t>
      </w:r>
      <w:r>
        <w:rPr>
          <w:rFonts w:cs="Arial" w:ascii="Arial" w:hAnsi="Arial"/>
          <w:bCs/>
          <w:sz w:val="18"/>
          <w:szCs w:val="18"/>
          <w:lang w:val="es-ES_tradnl"/>
        </w:rPr>
        <w:t>,</w:t>
      </w:r>
    </w:p>
    <w:p>
      <w:pPr>
        <w:pStyle w:val="NormalWeb"/>
        <w:spacing w:beforeAutospacing="0" w:before="0" w:afterAutospacing="0" w:after="0"/>
        <w:jc w:val="both"/>
        <w:rPr>
          <w:rFonts w:ascii="Arial" w:hAnsi="Arial" w:cs="Arial"/>
          <w:b/>
          <w:b/>
          <w:sz w:val="18"/>
          <w:szCs w:val="18"/>
          <w:lang w:val="es-ES_tradnl"/>
        </w:rPr>
      </w:pPr>
      <w:r>
        <w:rPr>
          <w:rFonts w:cs="Arial" w:ascii="Arial" w:hAnsi="Arial"/>
          <w:b/>
          <w:sz w:val="18"/>
          <w:szCs w:val="18"/>
          <w:lang w:val="es-ES_tradnl"/>
        </w:rPr>
      </w:r>
    </w:p>
    <w:p>
      <w:pPr>
        <w:pStyle w:val="ListParagraph"/>
        <w:numPr>
          <w:ilvl w:val="0"/>
          <w:numId w:val="7"/>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En desarrollo del programa OMISOS DEL </w:t>
      </w:r>
      <w:r>
        <w:rPr>
          <w:rFonts w:cs="Arial" w:ascii="Arial" w:hAnsi="Arial"/>
          <w:bCs/>
          <w:sz w:val="18"/>
          <w:szCs w:val="18"/>
          <w:lang w:val="es-ES_tradnl"/>
        </w:rPr>
        <w:t>IMPUESTO DE CIRCULACIÓN Y TRÁNSITO DE VEHÍCULOS DE SERVICIO PÚBLICO</w:t>
      </w:r>
      <w:r>
        <w:rPr>
          <w:rFonts w:cs="Arial" w:ascii="Arial" w:hAnsi="Arial"/>
          <w:sz w:val="18"/>
          <w:szCs w:val="18"/>
          <w:lang w:val="es-ES_tradnl"/>
        </w:rPr>
        <w:t>, la Secretaria de Hacienda de Aguazul solicitó información al Registro Único Nacional de Tránsito (RUNT), respecto a las personas propietarias de vehículos de servicio público matriculados en el municipio de Aguazul (Casanare).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8"/>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En respuesta al requerimiento anterior, el RUNT informó que la persona abajo relacionada cumple con los requisitos exigidos en los artículos 166 a 176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08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98"/>
        <w:gridCol w:w="6483"/>
      </w:tblGrid>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Nombre o Razón Social</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POLICARPO GALINDO</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Cédula de Ciudadanía o NIT</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1118548845</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Periodo Gravable</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2024</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Placa vehículo</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ZKG305</w:t>
            </w:r>
          </w:p>
        </w:tc>
      </w:tr>
    </w:tbl>
    <w:p>
      <w:pPr>
        <w:pStyle w:val="Normal"/>
        <w:spacing w:lineRule="auto" w:line="240" w:before="0" w:after="0"/>
        <w:jc w:val="both"/>
        <w:rPr>
          <w:rFonts w:ascii="Avenir Next LT Pro" w:hAnsi="Avenir Next LT Pro" w:cs="Arial"/>
          <w:b/>
          <w:b/>
          <w:sz w:val="18"/>
          <w:szCs w:val="18"/>
        </w:rPr>
      </w:pPr>
      <w:r>
        <w:rPr>
          <w:rFonts w:cs="Arial" w:ascii="Avenir Next LT Pro" w:hAnsi="Avenir Next LT Pro"/>
          <w:b/>
          <w:sz w:val="18"/>
          <w:szCs w:val="18"/>
        </w:rPr>
      </w:r>
    </w:p>
    <w:p>
      <w:pPr>
        <w:pStyle w:val="ListParagraph"/>
        <w:numPr>
          <w:ilvl w:val="0"/>
          <w:numId w:val="9"/>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El citado contribuyente en calidad de propietario del vehículo aquí referenciado, no cumplió con el deber legal de declarar y pagar el impuesto de circulación y tránsito de vehículos de servicio público, dentro del plazo establecido en el Calendario Tributario correspondiente.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0"/>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Mediante emplazamiento previo por no declarar N° </w:t>
      </w:r>
      <w:r>
        <w:rPr>
          <w:rFonts w:cs="Arial" w:ascii="Arial" w:hAnsi="Arial"/>
          <w:sz w:val="18"/>
          <w:szCs w:val="18"/>
          <w:shd w:fill="81D41A" w:val="clear"/>
          <w:lang w:val="es-ES_tradnl"/>
        </w:rPr>
        <w:t>001</w:t>
      </w:r>
      <w:r>
        <w:rPr>
          <w:rFonts w:cs="Arial" w:ascii="Arial" w:hAnsi="Arial"/>
          <w:sz w:val="18"/>
          <w:szCs w:val="18"/>
          <w:lang w:val="es-ES_tradnl"/>
        </w:rPr>
        <w:t xml:space="preserve"> de fecha </w:t>
      </w:r>
      <w:r>
        <w:rPr>
          <w:rFonts w:cs="Arial" w:ascii="Arial" w:hAnsi="Arial"/>
          <w:sz w:val="18"/>
          <w:szCs w:val="18"/>
          <w:shd w:fill="81D41A" w:val="clear"/>
          <w:lang w:val="es-ES_tradnl"/>
        </w:rPr>
        <w:t>25 de Junio de 2024,</w:t>
      </w:r>
      <w:r>
        <w:rPr>
          <w:rFonts w:cs="Arial" w:ascii="Arial" w:hAnsi="Arial"/>
          <w:sz w:val="18"/>
          <w:szCs w:val="18"/>
          <w:lang w:val="es-ES_tradnl"/>
        </w:rPr>
        <w:t xml:space="preserve"> debidamente notificado al contribuyente en mención, se le requirió para que cumpliera la obligación formal de presentar la declaración del impuesto de circulación y tránsito de vehículos de servicio público, dentro del término de un mes contado a partir de la fecha de notificación de dicha actuación, la cual fue notificada el día 02 de Febrero de 02</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1"/>
        </w:numPr>
        <w:spacing w:lineRule="auto" w:line="240" w:before="0" w:after="0"/>
        <w:ind w:left="360" w:right="-1" w:hanging="360"/>
        <w:jc w:val="both"/>
        <w:rPr>
          <w:rFonts w:ascii="Arial" w:hAnsi="Arial" w:cs="Arial"/>
          <w:sz w:val="18"/>
          <w:szCs w:val="18"/>
          <w:lang w:eastAsia="es-CO"/>
        </w:rPr>
      </w:pPr>
      <w:r>
        <w:rPr>
          <w:rFonts w:cs="Arial" w:ascii="Arial" w:hAnsi="Arial"/>
          <w:sz w:val="18"/>
          <w:szCs w:val="18"/>
          <w:lang w:val="es-ES_tradnl"/>
        </w:rPr>
        <w:t>Por la no presentación de la declaración y pago del impuesto de circulación y tránsito de vehículos de servicio público, y agotado el procedimiento previsto en los artículos 376 al 382 del Estatuto de Rentas Municipal, esta Secretaría procede a determinar el impuesto y aplicar la sanción por no declarar para el año gravable mencionado, conforme a lo establecido en el artículo 458</w:t>
      </w:r>
      <w:r>
        <w:rPr>
          <w:rFonts w:cs="Arial" w:ascii="Arial" w:hAnsi="Arial"/>
          <w:bCs/>
          <w:sz w:val="18"/>
          <w:szCs w:val="18"/>
          <w:lang w:val="es-ES_tradnl"/>
        </w:rPr>
        <w:t xml:space="preserve"> del Estatuto de Rentas Municipal (Acuerdo 020 del 2016), norma que señala que la sanción por no declarar el impuesto de circulación y tránsito de vehículos de servicio público será equivalente </w:t>
      </w:r>
      <w:r>
        <w:rPr>
          <w:rFonts w:cs="Arial" w:ascii="Arial" w:hAnsi="Arial"/>
          <w:sz w:val="18"/>
          <w:szCs w:val="18"/>
          <w:lang w:eastAsia="es-CO"/>
        </w:rPr>
        <w:t>al diez por ciento (10%) de la base gravable del impuesto, para el periodo gravable que se encuentre omiso en la presentación de la declaración correspondiente.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En mérito de lo expuesto la suscrita Secretaria de Hacienda de Aguazul (Casanare):</w:t>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RESUELVE:</w:t>
      </w:r>
    </w:p>
    <w:p>
      <w:pPr>
        <w:pStyle w:val="Normal"/>
        <w:spacing w:lineRule="auto" w:line="240" w:before="0" w:after="0"/>
        <w:jc w:val="right"/>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
          <w:sz w:val="18"/>
          <w:szCs w:val="18"/>
          <w:lang w:val="es-ES_tradnl"/>
        </w:rPr>
        <w:t xml:space="preserve">Artículo Primero: </w:t>
      </w:r>
      <w:r>
        <w:rPr>
          <w:rFonts w:cs="Arial" w:ascii="Arial" w:hAnsi="Arial"/>
          <w:sz w:val="18"/>
          <w:szCs w:val="18"/>
        </w:rPr>
        <w:t xml:space="preserve">Imponer </w:t>
      </w:r>
      <w:r>
        <w:rPr>
          <w:rFonts w:cs="Arial" w:ascii="Arial" w:hAnsi="Arial"/>
          <w:b/>
          <w:bCs/>
          <w:sz w:val="18"/>
          <w:szCs w:val="18"/>
        </w:rPr>
        <w:t>SANCIÓN</w:t>
      </w:r>
      <w:r>
        <w:rPr>
          <w:rFonts w:cs="Arial" w:ascii="Arial" w:hAnsi="Arial"/>
          <w:sz w:val="18"/>
          <w:szCs w:val="18"/>
        </w:rPr>
        <w:t xml:space="preserve"> por no declarar correspondiente al impuesto de Circulación y Tránsito de Vehículo de Servicio Público al contribuyente en los términos y condiciones siguientes: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tbl>
      <w:tblPr>
        <w:tblStyle w:val="Tablaconcuadrcula"/>
        <w:tblW w:w="9214" w:type="dxa"/>
        <w:jc w:val="left"/>
        <w:tblInd w:w="137" w:type="dxa"/>
        <w:tblLayout w:type="fixed"/>
        <w:tblCellMar>
          <w:top w:w="0" w:type="dxa"/>
          <w:left w:w="108" w:type="dxa"/>
          <w:bottom w:w="0" w:type="dxa"/>
          <w:right w:w="108" w:type="dxa"/>
        </w:tblCellMar>
        <w:tblLook w:val="04a0" w:noHBand="0" w:noVBand="1" w:firstColumn="1" w:lastRow="0" w:lastColumn="0" w:firstRow="1"/>
      </w:tblPr>
      <w:tblGrid>
        <w:gridCol w:w="1768"/>
        <w:gridCol w:w="7445"/>
      </w:tblGrid>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Razón Social</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POLICARPO GALINDO</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Identificación</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1118548845</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Periodo Gravable</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2024</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Por la suma de</w:t>
            </w:r>
          </w:p>
        </w:tc>
        <w:tc>
          <w:tcPr>
            <w:tcW w:w="7445" w:type="dxa"/>
            <w:tcBorders/>
          </w:tcPr>
          <w:p>
            <w:pPr>
              <w:pStyle w:val="Normal"/>
              <w:widowControl w:val="false"/>
              <w:suppressAutoHyphens w:val="true"/>
              <w:spacing w:before="0" w:after="200"/>
              <w:jc w:val="both"/>
              <w:rPr>
                <w:rFonts w:ascii="Arial" w:hAnsi="Arial" w:cs="Arial"/>
                <w:bCs/>
                <w:sz w:val="18"/>
                <w:szCs w:val="18"/>
              </w:rPr>
            </w:pPr>
            <w:r>
              <w:rPr>
                <w:rFonts w:cs="Arial" w:ascii="Arial" w:hAnsi="Arial"/>
                <w:bCs/>
                <w:kern w:val="0"/>
                <w:sz w:val="22"/>
                <w:szCs w:val="22"/>
                <w:lang w:val="es-CO" w:eastAsia="en-US" w:bidi="ar-SA"/>
              </w:rPr>
              <w:t>Cuatro Millones Cien Mil Pesos M/CTE ($4.100.000,00)</w:t>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Spacing"/>
        <w:jc w:val="both"/>
        <w:rPr>
          <w:rFonts w:ascii="Arial" w:hAnsi="Arial" w:cs="Arial"/>
          <w:b/>
          <w:b/>
          <w:bCs/>
          <w:sz w:val="18"/>
          <w:szCs w:val="18"/>
          <w:lang w:val="es-CO"/>
        </w:rPr>
      </w:pPr>
      <w:r>
        <w:rPr>
          <w:rFonts w:cs="Arial" w:ascii="Arial" w:hAnsi="Arial"/>
          <w:b/>
          <w:bCs/>
          <w:sz w:val="18"/>
          <w:szCs w:val="18"/>
          <w:lang w:val="es-CO"/>
        </w:rPr>
      </w:r>
    </w:p>
    <w:p>
      <w:pPr>
        <w:pStyle w:val="NoSpacing"/>
        <w:jc w:val="both"/>
        <w:rPr>
          <w:rFonts w:ascii="Arial" w:hAnsi="Arial" w:cs="Arial"/>
          <w:sz w:val="18"/>
          <w:szCs w:val="18"/>
          <w:lang w:val="es-CO"/>
        </w:rPr>
      </w:pPr>
      <w:r>
        <w:rPr>
          <w:rFonts w:cs="Arial" w:ascii="Arial" w:hAnsi="Arial"/>
          <w:b/>
          <w:bCs/>
          <w:sz w:val="18"/>
          <w:szCs w:val="18"/>
          <w:lang w:val="es-CO"/>
        </w:rPr>
        <w:t>Artículo Segundo: NOTIFICAR</w:t>
      </w:r>
      <w:r>
        <w:rPr>
          <w:rFonts w:cs="Arial" w:ascii="Arial" w:hAnsi="Arial"/>
          <w:sz w:val="18"/>
          <w:szCs w:val="18"/>
          <w:lang w:val="es-CO"/>
        </w:rPr>
        <w:t xml:space="preserve"> la presente resolución de conformidad con lo dispuesto en los artículos 308 y 310 del Acuerdo 020 de 2016, advirtiéndole al contribuyente que contra la presente actuación procede el </w:t>
      </w:r>
      <w:r>
        <w:rPr>
          <w:rFonts w:cs="Arial" w:ascii="Arial" w:hAnsi="Arial"/>
          <w:b/>
          <w:bCs/>
          <w:sz w:val="18"/>
          <w:szCs w:val="18"/>
          <w:lang w:val="es-CO"/>
        </w:rPr>
        <w:t>RECURSO DE RECONSIDERACIÓN</w:t>
      </w:r>
      <w:r>
        <w:rPr>
          <w:rFonts w:cs="Arial" w:ascii="Arial" w:hAnsi="Arial"/>
          <w:sz w:val="18"/>
          <w:szCs w:val="18"/>
          <w:lang w:val="es-CO"/>
        </w:rPr>
        <w:t>, el cual, según lo dispuesto en el artículo 385 del estatuto de rentas, deberá interponerse ante el Despacho de la Secretaría de Hacienda dentro de los dos (2) meses calendario siguientes a la fecha de notificación, cumpliendo los requisitos establecidos en el artículo 387 de la norma mencionada.</w:t>
      </w:r>
    </w:p>
    <w:p>
      <w:pPr>
        <w:pStyle w:val="Normal"/>
        <w:spacing w:lineRule="auto" w:line="240" w:before="0" w:after="0"/>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Narrow" w:hAnsi="Arial Narrow" w:cs="Arial"/>
          <w:b/>
          <w:b/>
          <w:bCs/>
        </w:rPr>
      </w:pPr>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r>
        <w:br w:type="page"/>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t>ANEXO EXPLICATIVO</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Cs/>
          <w:sz w:val="18"/>
          <w:szCs w:val="18"/>
          <w:lang w:val="es-ES_tradnl"/>
        </w:rPr>
      </w:pPr>
      <w:r>
        <w:rPr>
          <w:rFonts w:cs="Arial" w:ascii="Arial" w:hAnsi="Arial"/>
          <w:bCs/>
          <w:sz w:val="18"/>
          <w:szCs w:val="18"/>
          <w:lang w:val="es-ES_tradnl"/>
        </w:rPr>
        <w:t>RESOLUCION SANCION PÓR NO DECLARAR</w:t>
      </w:r>
    </w:p>
    <w:p>
      <w:pPr>
        <w:pStyle w:val="Normal"/>
        <w:spacing w:lineRule="auto" w:line="240" w:before="0" w:after="0"/>
        <w:jc w:val="center"/>
        <w:rPr>
          <w:rFonts w:ascii="Arial" w:hAnsi="Arial" w:cs="Arial"/>
          <w:sz w:val="18"/>
          <w:szCs w:val="18"/>
          <w:lang w:val="es-ES_tradnl"/>
        </w:rPr>
      </w:pPr>
      <w:r>
        <w:rPr>
          <w:rFonts w:cs="Arial" w:ascii="Arial" w:hAnsi="Arial"/>
          <w:bCs/>
          <w:sz w:val="18"/>
          <w:szCs w:val="18"/>
          <w:lang w:val="es-ES_tradnl"/>
        </w:rPr>
        <w:t xml:space="preserve">No. XXXX </w:t>
      </w:r>
      <w:r>
        <w:rPr>
          <w:rFonts w:cs="Arial" w:ascii="Arial" w:hAnsi="Arial"/>
          <w:sz w:val="18"/>
          <w:szCs w:val="18"/>
          <w:lang w:val="es-ES_tradnl"/>
        </w:rPr>
        <w:t>del XXXXX</w:t>
      </w:r>
    </w:p>
    <w:p>
      <w:pPr>
        <w:pStyle w:val="Normal"/>
        <w:spacing w:lineRule="auto" w:line="240" w:before="0" w:after="0"/>
        <w:jc w:val="center"/>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r>
    </w:p>
    <w:tbl>
      <w:tblPr>
        <w:tblStyle w:val="Tablaconcuadrcula"/>
        <w:tblW w:w="920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2"/>
        <w:gridCol w:w="7206"/>
      </w:tblGrid>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Periodo: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206" w:type="dxa"/>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 COMPETENCIA.</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Web"/>
        <w:spacing w:beforeAutospacing="0" w:before="0" w:afterAutospacing="0" w:after="0"/>
        <w:jc w:val="both"/>
        <w:rPr>
          <w:rFonts w:ascii="Arial" w:hAnsi="Arial" w:cs="Arial"/>
          <w:bCs/>
          <w:sz w:val="18"/>
          <w:szCs w:val="18"/>
          <w:lang w:val="es-ES_tradnl"/>
        </w:rPr>
      </w:pPr>
      <w:r>
        <w:rPr>
          <w:rFonts w:cs="Arial" w:ascii="Arial" w:hAnsi="Arial"/>
          <w:bCs/>
          <w:sz w:val="18"/>
          <w:szCs w:val="18"/>
          <w:lang w:val="es-ES_tradnl"/>
        </w:rPr>
        <w:t xml:space="preserve">La Secretaría de Hacienda del Municipio de Aguazul (Casanare), en uso de sus atribuciones legales y especialmente las conferidas por los artículos </w:t>
      </w:r>
      <w:r>
        <w:rPr>
          <w:rFonts w:cs="Arial" w:ascii="Arial" w:hAnsi="Arial"/>
          <w:sz w:val="18"/>
          <w:szCs w:val="18"/>
        </w:rPr>
        <w:t>5, 166 a 176, 348, 350, 352, 353, 355 y 458 del Acuerdo 020 del 21 de diciembre de 2016</w:t>
      </w:r>
      <w:r>
        <w:rPr>
          <w:rFonts w:cs="Arial" w:ascii="Arial" w:hAnsi="Arial"/>
          <w:bCs/>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2.- OPORTUNIDAD.</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La presente resolución sanción por no declarar se profiere una vez vencido el término de la investigada para responder el Emplazamiento para Declarar No. XXXX de XXXXX, el cual se notificó el día XXXX, mediante correo físico entregado por el operador XXXXX, Guía N°XXXXX o correo xxxx, sin que hasta la fecha la investigada hubiere presentado la declaración respectiva.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3.-HECHOS.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Expuestos en la parte considerativa del acto administrativo.</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4.- FUNDAMENTOS DE DERECHO.</w:t>
      </w:r>
    </w:p>
    <w:tbl>
      <w:tblPr>
        <w:tblStyle w:val="Tablaconcuadrcula"/>
        <w:tblpPr w:vertAnchor="text" w:horzAnchor="page" w:leftFromText="141" w:rightFromText="141" w:tblpX="1552" w:tblpY="353"/>
        <w:tblW w:w="9209"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746"/>
        <w:gridCol w:w="2794"/>
        <w:gridCol w:w="5669"/>
      </w:tblGrid>
      <w:tr>
        <w:trPr/>
        <w:tc>
          <w:tcPr>
            <w:tcW w:w="746"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w:t>
            </w:r>
          </w:p>
        </w:tc>
        <w:tc>
          <w:tcPr>
            <w:tcW w:w="2794"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NORMA</w:t>
            </w:r>
          </w:p>
        </w:tc>
        <w:tc>
          <w:tcPr>
            <w:tcW w:w="5669"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CONTENIDO</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01</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Ley 788 de 2002,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 59.</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Reitera la orden a los municipios y distritos, e incluye a los departamentos, de aplicar los procedimientos establecidos en el Estatuto Tributario Nacional para los impuestos del orden nacional, a los procesos de fiscalización, liquidación, declaraciones tributarias y procesos de imposición de sanciones, discusión, y Cobro Coactivo. Faculta a las entidades territoriales para disminuir el monto de las sanciones y simplificar el término de aplicación de los procedimientos nacionales.</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02</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Ley 488 de 1998</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Artículos 145, parágrafo 4º.</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 xml:space="preserve">Creó el impuesto de </w:t>
            </w:r>
            <w:r>
              <w:rPr>
                <w:rFonts w:cs="Arial" w:ascii="Arial" w:hAnsi="Arial"/>
                <w:kern w:val="0"/>
                <w:sz w:val="18"/>
                <w:szCs w:val="18"/>
                <w:shd w:fill="FFFFFF" w:val="clear"/>
                <w:lang w:val="es-CO" w:eastAsia="en-US" w:bidi="ar-SA"/>
              </w:rPr>
              <w:t xml:space="preserve">sobre vehículos automotores, el cual sustituyó los impuestos de timbre nacional sobre vehículos, cuya renta se cedió a los departamentos, de circulación y tránsito y el unificado de vehículos del Distrito Capital de Santa Fe de Bogotá. Mantuvo el </w:t>
            </w:r>
            <w:r>
              <w:rPr>
                <w:rFonts w:cs="Arial" w:ascii="Arial" w:hAnsi="Arial"/>
                <w:kern w:val="0"/>
                <w:sz w:val="18"/>
                <w:szCs w:val="18"/>
                <w:lang w:val="es-ES_tradnl" w:eastAsia="en-US" w:bidi="ar-SA"/>
              </w:rPr>
              <w:t>impuesto de Circulación y Tránsito de Vehículos de Servicio Público a los municipios que lo tenían establecido antes de la promulgación de la norma.</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03</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Estatuto de Rentas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(Acuerdo 020 de 2016)</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Estableció la normatividad que desde el 1 de enero de 2017 rigen los procesos de determinación, discusión, cobro coactivo, compensaciones y devoluciones, así como el régimen sancionatorio y procedimental de los tributos y otras rentas administradas por la Secretaria de Hacienda del municipio de Aguazul.</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Acuerdo No. 020 de diciembre 21 de 2016</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63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128"/>
        <w:gridCol w:w="5245"/>
      </w:tblGrid>
      <w:tr>
        <w:trPr/>
        <w:tc>
          <w:tcPr>
            <w:tcW w:w="1128"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Articulo</w:t>
            </w:r>
          </w:p>
        </w:tc>
        <w:tc>
          <w:tcPr>
            <w:tcW w:w="5245"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Contenido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Hecho generador del Impuesto de Circulación y Tránsito de vehículos de servicio Público</w:t>
            </w:r>
          </w:p>
        </w:tc>
      </w:tr>
      <w:tr>
        <w:trPr>
          <w:trHeight w:val="65" w:hRule="atLeast"/>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169</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Sujeto Pasivo del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171</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Base Gravable en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CO" w:eastAsia="en-US" w:bidi="ar-SA"/>
              </w:rPr>
              <w:t>172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tarifa que se cobrará para 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ES_tradnl" w:eastAsia="en-US" w:bidi="ar-SA"/>
              </w:rPr>
              <w:t>408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oportunidad para allegar pruebas al expediente.</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CO" w:eastAsia="en-US" w:bidi="ar-SA"/>
              </w:rPr>
              <w:t>454</w:t>
            </w:r>
          </w:p>
        </w:tc>
        <w:tc>
          <w:tcPr>
            <w:tcW w:w="5245" w:type="dxa"/>
            <w:tcBorders/>
          </w:tcPr>
          <w:p>
            <w:pPr>
              <w:pStyle w:val="Normal"/>
              <w:widowControl w:val="false"/>
              <w:suppressAutoHyphens w:val="true"/>
              <w:spacing w:before="0" w:after="200"/>
              <w:jc w:val="left"/>
              <w:rPr>
                <w:rFonts w:ascii="Arial" w:hAnsi="Arial" w:cs="Arial"/>
                <w:sz w:val="18"/>
                <w:szCs w:val="18"/>
                <w:lang w:val="es-ES_tradnl"/>
              </w:rPr>
            </w:pPr>
            <w:r>
              <w:rPr>
                <w:rFonts w:cs="Arial" w:ascii="Arial" w:hAnsi="Arial"/>
                <w:kern w:val="0"/>
                <w:sz w:val="18"/>
                <w:szCs w:val="18"/>
                <w:lang w:val="es-ES_tradnl" w:eastAsia="en-US" w:bidi="ar-SA"/>
              </w:rPr>
              <w:t>Prescribe que las sanciones podrán imponerse mediante resolución independiente o en liquidaciones oficiales.</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455</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Señala el término de prescripción para imponer sanciones tributarias por parte del municipio.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458, numeral 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una tarifa del 10% para la Sanción por no Declarar el Impuesto de Circulación y Tránsito de Vehículos de Servicio Público, tomando como referencia el v</w:t>
            </w:r>
            <w:r>
              <w:rPr>
                <w:rFonts w:cs="Arial" w:ascii="Arial" w:hAnsi="Arial"/>
                <w:kern w:val="0"/>
                <w:sz w:val="18"/>
                <w:szCs w:val="18"/>
                <w:lang w:val="es-CO" w:eastAsia="en-US" w:bidi="ar-SA"/>
              </w:rPr>
              <w:t>alor comercial del vehículo determinado por el Ministerio de Transporte.</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5.- ARGUMENTOS DEL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rPr>
          <w:rFonts w:ascii="Arial" w:hAnsi="Arial" w:cs="Arial"/>
          <w:sz w:val="18"/>
          <w:szCs w:val="18"/>
        </w:rPr>
      </w:pPr>
      <w:r>
        <w:rPr>
          <w:rFonts w:cs="Arial" w:ascii="Arial" w:hAnsi="Arial"/>
          <w:sz w:val="18"/>
          <w:szCs w:val="18"/>
        </w:rPr>
        <w:t>El investigado no presentó argumentos de respuesta al emplazamiento para declarar.</w:t>
      </w:r>
    </w:p>
    <w:p>
      <w:pPr>
        <w:pStyle w:val="Normal"/>
        <w:spacing w:lineRule="auto" w:line="240" w:before="0" w:after="0"/>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6.- CONSIDERACIONES DE LA ADMINISTRACION</w:t>
      </w:r>
      <w:r>
        <w:rPr>
          <w:rFonts w:cs="Arial" w:ascii="Arial" w:hAnsi="Arial"/>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rPr>
        <w:t xml:space="preserve">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tiene como base legal, a nivel nacional, </w:t>
      </w:r>
      <w:r>
        <w:rPr>
          <w:rFonts w:cs="Arial" w:ascii="Arial" w:hAnsi="Arial"/>
          <w:sz w:val="18"/>
          <w:szCs w:val="18"/>
          <w:lang w:eastAsia="es-CO"/>
        </w:rPr>
        <w:t xml:space="preserve">las Leyes 97 de 1913, 48 de 1998, 14 de 1983, 33 de 1946, 44 de 1990, 448 de 1998, y el artículo 214 del Decreto Ley 1333 de 1986. </w:t>
      </w:r>
      <w:r>
        <w:rPr>
          <w:rFonts w:cs="Arial" w:ascii="Arial" w:hAnsi="Arial"/>
          <w:sz w:val="18"/>
          <w:szCs w:val="18"/>
        </w:rPr>
        <w:t xml:space="preserve">Dicho tributo se encuentra adoptado en el Municipio de Aguazul en los artículos 166 a 176 </w:t>
      </w:r>
      <w:r>
        <w:rPr>
          <w:rFonts w:cs="Arial" w:ascii="Arial" w:hAnsi="Arial"/>
          <w:sz w:val="18"/>
          <w:szCs w:val="18"/>
          <w:shd w:fill="FFFFFF" w:val="clear"/>
        </w:rPr>
        <w:t xml:space="preserve">del Acuerdo 020 de 2016, en la cual se establece que el hecho generador del tributo es </w:t>
      </w:r>
      <w:r>
        <w:rPr>
          <w:rFonts w:cs="Arial" w:ascii="Arial" w:hAnsi="Arial"/>
          <w:sz w:val="18"/>
          <w:szCs w:val="18"/>
          <w:lang w:eastAsia="es-CO"/>
        </w:rPr>
        <w:t>la circulación o tránsito, de vehículos automotores de servicio público en jurisdicción del Municipio de Aguazul, que se encuentren debidamente matriculados en dicha jurisdicción.</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 xml:space="preserve">La prueba principal de dicha propiedad o posesión la otorga la base de datos nacional conocida como </w:t>
      </w:r>
      <w:r>
        <w:rPr>
          <w:rFonts w:cs="Arial" w:ascii="Arial" w:hAnsi="Arial"/>
          <w:b/>
          <w:sz w:val="18"/>
          <w:szCs w:val="18"/>
          <w:lang w:eastAsia="es-CO"/>
        </w:rPr>
        <w:t>REGISTRO ÚNICO NACIONAL DE TRANSPORTE AUTOMOTOR “RUNT”</w:t>
      </w:r>
      <w:r>
        <w:rPr>
          <w:rFonts w:cs="Arial" w:ascii="Arial" w:hAnsi="Arial"/>
          <w:sz w:val="18"/>
          <w:szCs w:val="18"/>
          <w:lang w:eastAsia="es-CO"/>
        </w:rPr>
        <w:t>, en la cual fue localizado la persona investigada como propietaria de un vehículo de servicio público matriculado en la Secretaría de Transito Departamental ubicada en Aguazul.</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Con base en la prueba obtenida se procedió a expedir Emplazamiento para Declarar a la persona referida, la cual no fue contestada en el término legal de un (1) mes calendario, establecido en la legislación municipal, en concordancia con la nacional.</w:t>
      </w:r>
    </w:p>
    <w:p>
      <w:pPr>
        <w:pStyle w:val="Normal"/>
        <w:spacing w:lineRule="auto" w:line="240" w:before="0" w:after="0"/>
        <w:contextualSpacing/>
        <w:jc w:val="both"/>
        <w:rPr>
          <w:rFonts w:ascii="Arial" w:hAnsi="Arial" w:cs="Arial"/>
          <w:sz w:val="18"/>
          <w:szCs w:val="18"/>
          <w:shd w:fill="FFFFFF" w:val="clear"/>
        </w:rPr>
      </w:pPr>
      <w:r>
        <w:rPr>
          <w:rFonts w:cs="Arial" w:ascii="Arial" w:hAnsi="Arial"/>
          <w:sz w:val="18"/>
          <w:szCs w:val="18"/>
          <w:shd w:fill="FFFFFF" w:val="clear"/>
        </w:rPr>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t>Conforme lo anterior, al no desvirtuar las pruebas recaudadas por la Secretaría de Hacienda, frente a la propiedad y el registro del vehículo en la Secretaría de Transito Departamental ubicada en Aguazul, es claro que el investigado es sujeto pasivo del impuesto de Circulación y Tránsito de vehículos de Servicio Público en esta jurisdicción, motivo por el cual le correspondía cumplir la obligación formal de presentar y pagar la declaración, aunada a la sustancial del pago correspondiente.</w:t>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 xml:space="preserve">8.- SANCION: </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De acuerdo a lo estipulado en el artículo 458, numeral 2 del Acuerdo 020 de 2016, la no presentación de la declaración del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w:t>
      </w:r>
      <w:r>
        <w:rPr>
          <w:rFonts w:cs="Arial" w:ascii="Arial" w:hAnsi="Arial"/>
          <w:sz w:val="18"/>
          <w:szCs w:val="18"/>
          <w:lang w:val="es-ES_tradnl"/>
        </w:rPr>
        <w:t xml:space="preserve">dentro del término estipulado en el Emplazamiento para Declarar, acarrea la sanción equivalente al diez por ciento (10%) sobre el valor comercial </w:t>
      </w:r>
      <w:r>
        <w:rPr>
          <w:rFonts w:cs="Arial" w:ascii="Arial" w:hAnsi="Arial"/>
          <w:sz w:val="18"/>
          <w:szCs w:val="18"/>
        </w:rPr>
        <w:t>del vehículo determinado por el Ministerio de Transporte</w:t>
      </w:r>
      <w:r>
        <w:rPr>
          <w:rFonts w:cs="Arial" w:ascii="Arial" w:hAnsi="Arial"/>
          <w:sz w:val="18"/>
          <w:szCs w:val="18"/>
          <w:lang w:val="es-ES_tradnl"/>
        </w:rPr>
        <w:t xml:space="preserve"> de la siguiente forma: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879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02"/>
        <w:gridCol w:w="1843"/>
        <w:gridCol w:w="1701"/>
        <w:gridCol w:w="1843"/>
      </w:tblGrid>
      <w:tr>
        <w:trPr/>
        <w:tc>
          <w:tcPr>
            <w:tcW w:w="3402"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CONCEPTO</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BASE</w:t>
            </w:r>
          </w:p>
        </w:tc>
        <w:tc>
          <w:tcPr>
            <w:tcW w:w="1701"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TARIFA</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SANCION IMPUESTA</w:t>
            </w:r>
          </w:p>
        </w:tc>
      </w:tr>
      <w:tr>
        <w:trPr/>
        <w:tc>
          <w:tcPr>
            <w:tcW w:w="340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CO" w:eastAsia="en-US" w:bidi="ar-SA"/>
              </w:rPr>
              <w:t>Valor comercial del vehículo determinado por el Ministerio de Transporte</w:t>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701"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r>
      <w:tr>
        <w:trPr/>
        <w:tc>
          <w:tcPr>
            <w:tcW w:w="8789" w:type="dxa"/>
            <w:gridSpan w:val="4"/>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 xml:space="preserve">Son: </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9.- OPCIONES PARA 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eastAsia="es-CO"/>
        </w:rPr>
      </w:pPr>
      <w:r>
        <w:rPr>
          <w:rFonts w:cs="Arial" w:ascii="Arial" w:hAnsi="Arial"/>
          <w:sz w:val="18"/>
          <w:szCs w:val="18"/>
          <w:lang w:eastAsia="es-CO"/>
        </w:rPr>
        <w:t xml:space="preserve">Si dentro del término para interponer el </w:t>
      </w:r>
      <w:r>
        <w:rPr>
          <w:rFonts w:cs="Arial" w:ascii="Arial" w:hAnsi="Arial"/>
          <w:b/>
          <w:bCs/>
          <w:sz w:val="18"/>
          <w:szCs w:val="18"/>
          <w:lang w:val="es-ES_tradnl"/>
        </w:rPr>
        <w:t xml:space="preserve">RECURSO DE RECONSIDERACIÓN </w:t>
      </w:r>
      <w:r>
        <w:rPr>
          <w:rFonts w:cs="Arial" w:ascii="Arial" w:hAnsi="Arial"/>
          <w:sz w:val="18"/>
          <w:szCs w:val="18"/>
          <w:lang w:eastAsia="es-CO"/>
        </w:rPr>
        <w:t xml:space="preserve">contra la resolución que impone la sanción por no declarar </w:t>
      </w:r>
      <w:r>
        <w:rPr>
          <w:rFonts w:cs="Arial" w:ascii="Arial" w:hAnsi="Arial"/>
          <w:sz w:val="18"/>
          <w:szCs w:val="18"/>
          <w:lang w:val="es-ES_tradnl"/>
        </w:rPr>
        <w:t>(2 meses posteriores a la notificación)</w:t>
      </w:r>
      <w:r>
        <w:rPr>
          <w:rFonts w:cs="Arial" w:ascii="Arial" w:hAnsi="Arial"/>
          <w:sz w:val="18"/>
          <w:szCs w:val="18"/>
          <w:lang w:eastAsia="es-CO"/>
        </w:rPr>
        <w:t xml:space="preserve">, el contribuyente presenta la declaración, la sanción por no declarar se reducirá al cincuenta por ciento (50%) del valor de la misma, en cuyo caso, el contribuyente, responsable o agente retenedor, deberá liquidarla y pagarla al presentar la declaración tributaria. En todo caso, esta sanción no podrá ser inferior a la </w:t>
      </w:r>
      <w:r>
        <w:rPr>
          <w:rFonts w:cs="Arial" w:ascii="Arial" w:hAnsi="Arial"/>
          <w:bCs/>
          <w:sz w:val="18"/>
          <w:szCs w:val="18"/>
          <w:lang w:val="es-ES_tradnl" w:eastAsia="es-CO"/>
        </w:rPr>
        <w:t>sanción por extemporaneidad en la presentación de las declaraciones con posterioridad al emplazamiento</w:t>
      </w:r>
      <w:r>
        <w:rPr>
          <w:rFonts w:cs="Arial" w:ascii="Arial" w:hAnsi="Arial"/>
          <w:sz w:val="18"/>
          <w:szCs w:val="18"/>
          <w:lang w:eastAsia="es-CO"/>
        </w:rPr>
        <w:t xml:space="preserve">, prevista en el artículo 465 del </w:t>
      </w:r>
      <w:r>
        <w:rPr>
          <w:rFonts w:cs="Arial" w:ascii="Arial" w:hAnsi="Arial"/>
          <w:sz w:val="18"/>
          <w:szCs w:val="18"/>
          <w:lang w:val="es-ES_tradnl"/>
        </w:rPr>
        <w:t>Acuerdo 020 de 2016</w:t>
      </w:r>
      <w:r>
        <w:rPr>
          <w:rFonts w:cs="Arial" w:ascii="Arial" w:hAnsi="Arial"/>
          <w:sz w:val="18"/>
          <w:szCs w:val="18"/>
          <w:lang w:eastAsia="es-CO"/>
        </w:rPr>
        <w:t>, ni a la sanción mínima establecida en el artículo 456 ibidem.</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rPr>
          <w:rFonts w:ascii="Arial" w:hAnsi="Arial" w:cs="Arial"/>
          <w:b/>
          <w:b/>
          <w:bCs/>
          <w:sz w:val="18"/>
          <w:szCs w:val="18"/>
        </w:rPr>
      </w:pPr>
      <w:r>
        <w:rPr>
          <w:rFonts w:cs="Arial" w:ascii="Arial" w:hAnsi="Arial"/>
          <w:b/>
          <w:bCs/>
          <w:sz w:val="18"/>
          <w:szCs w:val="18"/>
        </w:rPr>
        <w:t>10.- PRUEBAS VALORADAS.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En el presente proceso se valoraron las siguientes: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1º.- Consulta al sistema contable Sisoft de la Secretaría de Hacienda de Aguazul y Bases de datos.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2º.- Consulta al Registro Único Nacional Automotor RUNT.</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11.- RECURSO PROCEDENTE CONTRA LA PRESENTE RESOLUCION</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Contra la presente resolución procede el </w:t>
      </w:r>
      <w:r>
        <w:rPr>
          <w:rFonts w:cs="Arial" w:ascii="Arial" w:hAnsi="Arial"/>
          <w:b/>
          <w:bCs/>
          <w:sz w:val="18"/>
          <w:szCs w:val="18"/>
          <w:lang w:val="es-ES_tradnl"/>
        </w:rPr>
        <w:t>RECURSO DE RECONSIDERACIÓN</w:t>
      </w:r>
      <w:r>
        <w:rPr>
          <w:rFonts w:cs="Arial" w:ascii="Arial" w:hAnsi="Arial"/>
          <w:sz w:val="18"/>
          <w:szCs w:val="18"/>
          <w:lang w:val="es-ES_tradnl"/>
        </w:rPr>
        <w:t xml:space="preserve"> dentro del término improrrogable de dos (2) meses siguientes a la notificación del presente acto administrativo, de conformidad con lo dispuesto en el artículo 385 el cual deberá presente ante la Secretaria de Hacienda Municipal cumpliendo los requisitos establecidos en el artículo 387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12.- DIRECCION PARA NOTIFICACIONES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Notifíquese al investigado, a la siguiente dirección física o electrónica, tomada del </w:t>
      </w:r>
      <w:r>
        <w:rPr>
          <w:rFonts w:cs="Arial" w:ascii="Arial" w:hAnsi="Arial"/>
          <w:sz w:val="18"/>
          <w:szCs w:val="18"/>
        </w:rPr>
        <w:t>Registro Único Nacional Automotor RUNT / RUES / VUR / Declaraciones presentadas otras vigencias: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35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62"/>
        <w:gridCol w:w="7088"/>
      </w:tblGrid>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Domicilio Social</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XXXXX</w:t>
            </w:r>
          </w:p>
        </w:tc>
      </w:tr>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Correo electrónico</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Narrow" w:hAnsi="Arial Narrow" w:cs="Arial"/>
          <w:b/>
          <w:b/>
          <w:bCs/>
        </w:rPr>
      </w:pPr>
      <w:bookmarkStart w:id="0" w:name="_GoBack"/>
      <w:bookmarkEnd w:id="0"/>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p>
      <w:pPr>
        <w:sectPr>
          <w:headerReference w:type="default" r:id="rId2"/>
          <w:footerReference w:type="default" r:id="rId3"/>
          <w:type w:val="nextPage"/>
          <w:pgSz w:w="12240" w:h="15840"/>
          <w:pgMar w:left="1418" w:right="1467" w:gutter="0" w:header="709" w:top="1418" w:footer="284" w:bottom="1418"/>
          <w:pgNumType w:start="1" w:fmt="decimal"/>
          <w:formProt w:val="false"/>
          <w:textDirection w:val="lrTb"/>
          <w:docGrid w:type="default" w:linePitch="360" w:charSpace="4096"/>
        </w:sectPr>
        <w:pStyle w:val="Normal"/>
        <w:spacing w:lineRule="auto" w:line="240" w:before="0" w:after="0"/>
        <w:jc w:val="both"/>
        <w:rPr>
          <w:rFonts w:ascii="Arial" w:hAnsi="Arial" w:cs="Arial"/>
          <w:sz w:val="18"/>
          <w:szCs w:val="18"/>
        </w:rPr>
      </w:pPr>
      <w:r>
        <w:rPr>
          <w:rFonts w:cs="Arial" w:ascii="Arial" w:hAnsi="Arial"/>
          <w:sz w:val="18"/>
          <w:szCs w:val="18"/>
        </w:rPr>
        <w:tab/>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widowControl/>
        <w:bidi w:val="0"/>
        <w:spacing w:lineRule="auto" w:line="276" w:before="0" w:after="200"/>
        <w:jc w:val="left"/>
        <w:rPr/>
      </w:pPr>
      <w:r>
        <w:rPr/>
      </w:r>
    </w:p>
    <w:sectPr>
      <w:headerReference w:type="default" r:id="rId4"/>
      <w:footerReference w:type="default" r:id="rId5"/>
      <w:type w:val="nextPage"/>
      <w:pgSz w:w="12240" w:h="15840"/>
      <w:pgMar w:left="1418" w:right="1418" w:gutter="0" w:header="567" w:top="1418" w:footer="567"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Arial">
    <w:charset w:val="01"/>
    <w:family w:val="roman"/>
    <w:pitch w:val="variable"/>
  </w:font>
  <w:font w:name="Avenir Next LT Pro">
    <w:charset w:val="01"/>
    <w:family w:val="roman"/>
    <w:pitch w:val="variable"/>
  </w:font>
  <w:font w:name="Arial Narrow">
    <w:charset w:val="01"/>
    <w:family w:val="roman"/>
    <w:pitch w:val="variable"/>
  </w:font>
  <w:font w:name="AvenirNext LT Pro Regular">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inline distT="0" distB="0" distL="0" distR="0">
          <wp:extent cx="5953125" cy="63817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
                  <a:stretch>
                    <a:fillRect/>
                  </a:stretch>
                </pic:blipFill>
                <pic:spPr bwMode="auto">
                  <a:xfrm>
                    <a:off x="0" y="0"/>
                    <a:ext cx="5953125" cy="63817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rFonts w:ascii="AvenirNext LT Pro Regular" w:hAnsi="AvenirNext LT Pro Regular"/>
        <w:sz w:val="18"/>
        <w:szCs w:val="18"/>
        <w:lang w:val="es-ES"/>
      </w:rPr>
    </w:pPr>
    <w:r>
      <w:rPr>
        <w:rFonts w:ascii="AvenirNext LT Pro Regular" w:hAnsi="AvenirNext LT Pro Regular"/>
        <w:sz w:val="18"/>
        <w:szCs w:val="18"/>
        <w:lang w:val="es-ES"/>
      </w:rPr>
      <w:t xml:space="preserve">  </w:t>
    </w:r>
    <w:r>
      <w:rPr/>
      <w:drawing>
        <wp:inline distT="0" distB="0" distL="0" distR="0">
          <wp:extent cx="4853940" cy="571500"/>
          <wp:effectExtent l="0" t="0" r="0" b="0"/>
          <wp:docPr id="6"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8" descr=""/>
                  <pic:cNvPicPr>
                    <a:picLocks noChangeAspect="1" noChangeArrowheads="1"/>
                  </pic:cNvPicPr>
                </pic:nvPicPr>
                <pic:blipFill>
                  <a:blip r:embed="rId1"/>
                  <a:stretch>
                    <a:fillRect/>
                  </a:stretch>
                </pic:blipFill>
                <pic:spPr bwMode="auto">
                  <a:xfrm>
                    <a:off x="0" y="0"/>
                    <a:ext cx="4853940" cy="571500"/>
                  </a:xfrm>
                  <a:prstGeom prst="rect">
                    <a:avLst/>
                  </a:prstGeom>
                </pic:spPr>
              </pic:pic>
            </a:graphicData>
          </a:graphic>
        </wp:inline>
      </w:drawing>
    </w:r>
    <w:r>
      <w:rPr>
        <w:rFonts w:ascii="AvenirNext LT Pro Regular" w:hAnsi="AvenirNext LT Pro Regular"/>
        <w:sz w:val="18"/>
        <w:szCs w:val="18"/>
        <w:lang w:val="es-ES"/>
      </w:rPr>
      <w:t xml:space="preserve"> </w:t>
    </w:r>
    <w:r>
      <w:rPr/>
      <w:drawing>
        <wp:inline distT="0" distB="0" distL="0" distR="0">
          <wp:extent cx="1028700" cy="676275"/>
          <wp:effectExtent l="0" t="0" r="0" b="0"/>
          <wp:docPr id="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7" descr=""/>
                  <pic:cNvPicPr>
                    <a:picLocks noChangeAspect="1" noChangeArrowheads="1"/>
                  </pic:cNvPicPr>
                </pic:nvPicPr>
                <pic:blipFill>
                  <a:blip r:embed="rId2"/>
                  <a:srcRect l="80258" t="0" r="0" b="0"/>
                  <a:stretch>
                    <a:fillRect/>
                  </a:stretch>
                </pic:blipFill>
                <pic:spPr bwMode="auto">
                  <a:xfrm>
                    <a:off x="0" y="0"/>
                    <a:ext cx="1028700" cy="676275"/>
                  </a:xfrm>
                  <a:prstGeom prst="rect">
                    <a:avLst/>
                  </a:prstGeom>
                </pic:spPr>
              </pic:pic>
            </a:graphicData>
          </a:graphic>
        </wp:inline>
      </w:drawing>
    </w:r>
  </w:p>
  <w:p>
    <w:pPr>
      <w:pStyle w:val="Footer"/>
      <w:jc w:val="right"/>
      <w:rPr/>
    </w:pPr>
    <w:r>
      <w:rPr>
        <w:rFonts w:ascii="AvenirNext LT Pro Regular" w:hAnsi="AvenirNext LT Pro Regular"/>
        <w:sz w:val="18"/>
        <w:szCs w:val="18"/>
        <w:lang w:val="es-ES"/>
      </w:rPr>
      <w:t xml:space="preserve">Página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PAGE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r>
      <w:rPr>
        <w:rFonts w:ascii="AvenirNext LT Pro Regular" w:hAnsi="AvenirNext LT Pro Regular"/>
        <w:sz w:val="18"/>
        <w:szCs w:val="18"/>
        <w:lang w:val="es-ES"/>
      </w:rPr>
      <w:t xml:space="preserve"> de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NUMPAGES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2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35"/>
      <w:gridCol w:w="2895"/>
      <w:gridCol w:w="2065"/>
      <w:gridCol w:w="2126"/>
    </w:tblGrid>
    <w:tr>
      <w:trPr>
        <w:trHeight w:val="416" w:hRule="atLeast"/>
      </w:trPr>
      <w:tc>
        <w:tcPr>
          <w:tcW w:w="9321" w:type="dxa"/>
          <w:gridSpan w:val="4"/>
          <w:tcBorders/>
          <w:vAlign w:val="center"/>
        </w:tcPr>
        <w:p>
          <w:pPr>
            <w:pStyle w:val="Header"/>
            <w:widowControl w:val="false"/>
            <w:suppressAutoHyphens w:val="true"/>
            <w:spacing w:beforeAutospacing="1" w:after="0"/>
            <w:jc w:val="center"/>
            <w:rPr>
              <w:rFonts w:ascii="Arial" w:hAnsi="Arial" w:cs="Arial"/>
              <w:b/>
              <w:b/>
              <w:lang w:val="es-ES" w:eastAsia="es-ES"/>
            </w:rPr>
          </w:pPr>
          <w:r>
            <w:rPr>
              <w:rFonts w:cs="Arial" w:ascii="Arial" w:hAnsi="Arial"/>
              <w:b/>
              <w:kern w:val="0"/>
              <w:sz w:val="22"/>
              <w:szCs w:val="22"/>
              <w:lang w:val="es-CO" w:eastAsia="en-US" w:bidi="ar-SA"/>
            </w:rPr>
            <w:t>PROCESO GESTIÓN DOCUMENTAL Y ATENCIÓN AL CIUDADANO</w:t>
          </w:r>
        </w:p>
      </w:tc>
    </w:tr>
    <w:tr>
      <w:trPr>
        <w:trHeight w:val="685" w:hRule="atLeast"/>
      </w:trPr>
      <w:tc>
        <w:tcPr>
          <w:tcW w:w="2235"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0" distT="0" distB="0" distL="114300" distR="114300" simplePos="0" locked="0" layoutInCell="1" allowOverlap="1" relativeHeight="29">
                <wp:simplePos x="0" y="0"/>
                <wp:positionH relativeFrom="column">
                  <wp:posOffset>228600</wp:posOffset>
                </wp:positionH>
                <wp:positionV relativeFrom="paragraph">
                  <wp:posOffset>44450</wp:posOffset>
                </wp:positionV>
                <wp:extent cx="638175" cy="504825"/>
                <wp:effectExtent l="0" t="0" r="0" b="0"/>
                <wp:wrapTight wrapText="bothSides">
                  <wp:wrapPolygon edited="0">
                    <wp:start x="-54" y="0"/>
                    <wp:lineTo x="-54" y="20939"/>
                    <wp:lineTo x="21104" y="20939"/>
                    <wp:lineTo x="21104" y="0"/>
                    <wp:lineTo x="-54" y="0"/>
                  </wp:wrapPolygon>
                </wp:wrapTight>
                <wp:docPr id="1"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
                        <pic:cNvPicPr>
                          <a:picLocks noChangeAspect="1" noChangeArrowheads="1"/>
                        </pic:cNvPicPr>
                      </pic:nvPicPr>
                      <pic:blipFill>
                        <a:blip r:embed="rId1"/>
                        <a:stretch>
                          <a:fillRect/>
                        </a:stretch>
                      </pic:blipFill>
                      <pic:spPr bwMode="auto">
                        <a:xfrm>
                          <a:off x="0" y="0"/>
                          <a:ext cx="638175" cy="504825"/>
                        </a:xfrm>
                        <a:prstGeom prst="rect">
                          <a:avLst/>
                        </a:prstGeom>
                      </pic:spPr>
                    </pic:pic>
                  </a:graphicData>
                </a:graphic>
              </wp:anchor>
            </w:drawing>
          </w:r>
        </w:p>
      </w:tc>
      <w:tc>
        <w:tcPr>
          <w:tcW w:w="4960" w:type="dxa"/>
          <w:gridSpan w:val="2"/>
          <w:tcBorders/>
          <w:vAlign w:val="center"/>
        </w:tcPr>
        <w:p>
          <w:pPr>
            <w:pStyle w:val="Header"/>
            <w:widowControl w:val="false"/>
            <w:suppressAutoHyphens w:val="true"/>
            <w:spacing w:beforeAutospacing="1" w:after="0"/>
            <w:jc w:val="center"/>
            <w:rPr>
              <w:rFonts w:ascii="Arial" w:hAnsi="Arial" w:cs="Arial"/>
              <w:b/>
              <w:b/>
              <w:sz w:val="24"/>
              <w:szCs w:val="24"/>
            </w:rPr>
          </w:pPr>
          <w:r>
            <w:rPr>
              <w:rFonts w:cs="Arial" w:ascii="Arial" w:hAnsi="Arial"/>
              <w:b/>
              <w:kern w:val="0"/>
              <w:sz w:val="24"/>
              <w:szCs w:val="24"/>
              <w:lang w:val="es-CO" w:eastAsia="en-US" w:bidi="ar-SA"/>
            </w:rPr>
            <w:t>RESOLUCIÓN</w:t>
          </w:r>
        </w:p>
      </w:tc>
      <w:tc>
        <w:tcPr>
          <w:tcW w:w="2126"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1" distT="0" distB="0" distL="0" distR="0" simplePos="0" locked="0" layoutInCell="1" allowOverlap="1" relativeHeight="10">
                <wp:simplePos x="0" y="0"/>
                <wp:positionH relativeFrom="column">
                  <wp:posOffset>326390</wp:posOffset>
                </wp:positionH>
                <wp:positionV relativeFrom="page">
                  <wp:posOffset>44450</wp:posOffset>
                </wp:positionV>
                <wp:extent cx="679450" cy="53340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tretch>
                          <a:fillRect/>
                        </a:stretch>
                      </pic:blipFill>
                      <pic:spPr bwMode="auto">
                        <a:xfrm>
                          <a:off x="0" y="0"/>
                          <a:ext cx="679450" cy="533400"/>
                        </a:xfrm>
                        <a:prstGeom prst="rect">
                          <a:avLst/>
                        </a:prstGeom>
                      </pic:spPr>
                    </pic:pic>
                  </a:graphicData>
                </a:graphic>
              </wp:anchor>
            </w:drawing>
          </w:r>
        </w:p>
      </w:tc>
    </w:tr>
    <w:tr>
      <w:trPr>
        <w:trHeight w:val="283" w:hRule="atLeast"/>
      </w:trPr>
      <w:tc>
        <w:tcPr>
          <w:tcW w:w="2235"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c>
        <w:tcPr>
          <w:tcW w:w="2895" w:type="dxa"/>
          <w:tcBorders/>
          <w:vAlign w:val="center"/>
        </w:tcPr>
        <w:p>
          <w:pPr>
            <w:pStyle w:val="Foot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Código: A-GDAC-F-21</w:t>
          </w:r>
        </w:p>
      </w:tc>
      <w:tc>
        <w:tcPr>
          <w:tcW w:w="2065" w:type="dxa"/>
          <w:tcBorders/>
          <w:vAlign w:val="center"/>
        </w:tcPr>
        <w:p>
          <w:pPr>
            <w:pStyle w:val="Head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Versión: 02</w:t>
          </w:r>
        </w:p>
      </w:tc>
      <w:tc>
        <w:tcPr>
          <w:tcW w:w="2126"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r>
    <w:tr>
      <w:trPr>
        <w:trHeight w:val="305" w:hRule="atLeast"/>
      </w:trPr>
      <w:tc>
        <w:tcPr>
          <w:tcW w:w="9321" w:type="dxa"/>
          <w:gridSpan w:val="4"/>
          <w:tcBorders/>
        </w:tcPr>
        <w:p>
          <w:pPr>
            <w:pStyle w:val="Footer"/>
            <w:widowControl w:val="false"/>
            <w:suppressAutoHyphens w:val="true"/>
            <w:spacing w:beforeAutospacing="1" w:after="0"/>
            <w:jc w:val="center"/>
            <w:rPr>
              <w:rFonts w:ascii="Arial" w:hAnsi="Arial" w:cs="Arial"/>
            </w:rPr>
          </w:pPr>
          <w:r>
            <w:rPr>
              <w:rFonts w:cs="Arial" w:ascii="Arial" w:hAnsi="Arial"/>
              <w:kern w:val="0"/>
              <w:sz w:val="22"/>
              <w:szCs w:val="22"/>
              <w:lang w:val="es-CO" w:eastAsia="en-US" w:bidi="ar-SA"/>
            </w:rPr>
            <w:t xml:space="preserve">Vigente: Resolución No. 001 del 02 de enero del 2024 </w:t>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56" w:type="dxa"/>
      <w:jc w:val="left"/>
      <w:tblInd w:w="-3" w:type="dxa"/>
      <w:tblLayout w:type="fixed"/>
      <w:tblCellMar>
        <w:top w:w="0" w:type="dxa"/>
        <w:left w:w="108" w:type="dxa"/>
        <w:bottom w:w="0" w:type="dxa"/>
        <w:right w:w="108" w:type="dxa"/>
      </w:tblCellMar>
      <w:tblLook w:val="04a0" w:noHBand="0" w:noVBand="1" w:firstColumn="1" w:lastRow="0" w:lastColumn="0" w:firstRow="1"/>
    </w:tblPr>
    <w:tblGrid>
      <w:gridCol w:w="1843"/>
      <w:gridCol w:w="3290"/>
      <w:gridCol w:w="2379"/>
      <w:gridCol w:w="1843"/>
    </w:tblGrid>
    <w:tr>
      <w:trPr>
        <w:trHeight w:val="421" w:hRule="atLeast"/>
      </w:trPr>
      <w:tc>
        <w:tcPr>
          <w:tcW w:w="9355" w:type="dxa"/>
          <w:gridSpan w:val="4"/>
          <w:tcBorders>
            <w:top w:val="single" w:sz="2" w:space="0" w:color="000000"/>
            <w:left w:val="single" w:sz="2" w:space="0" w:color="000000"/>
            <w:bottom w:val="single" w:sz="2" w:space="0" w:color="000000"/>
            <w:right w:val="single" w:sz="2" w:space="0" w:color="000000"/>
          </w:tcBorders>
          <w:vAlign w:val="center"/>
        </w:tcPr>
        <w:p>
          <w:pPr>
            <w:pStyle w:val="Header"/>
            <w:widowControl w:val="false"/>
            <w:suppressAutoHyphens w:val="true"/>
            <w:spacing w:before="0" w:after="0"/>
            <w:jc w:val="center"/>
            <w:rPr>
              <w:rFonts w:ascii="Arial" w:hAnsi="Arial" w:cs="Arial"/>
              <w:b/>
              <w:b/>
              <w:sz w:val="24"/>
              <w:szCs w:val="24"/>
              <w:lang w:val="es-ES" w:eastAsia="es-ES"/>
            </w:rPr>
          </w:pPr>
          <w:r>
            <w:rPr>
              <w:rFonts w:cs="Arial" w:ascii="Arial" w:hAnsi="Arial"/>
              <w:b/>
              <w:kern w:val="0"/>
              <w:sz w:val="24"/>
              <w:szCs w:val="24"/>
              <w:lang w:val="es-CO" w:eastAsia="en-US" w:bidi="ar-SA"/>
            </w:rPr>
            <w:t>PROCESO GESTIÓN DOCUMENTAL Y ATENCIÓN AL CIUDADANO</w:t>
          </w:r>
        </w:p>
      </w:tc>
    </w:tr>
    <w:tr>
      <w:trPr>
        <w:trHeight w:val="714" w:hRule="atLeast"/>
      </w:trPr>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813" w:leader="none"/>
            </w:tabs>
            <w:suppressAutoHyphens w:val="true"/>
            <w:spacing w:before="0" w:after="200"/>
            <w:jc w:val="left"/>
            <w:rPr>
              <w:rFonts w:ascii="AvenirNext LT Pro Regular" w:hAnsi="AvenirNext LT Pro Regular"/>
            </w:rPr>
          </w:pPr>
          <w:r>
            <w:drawing>
              <wp:anchor behindDoc="1" distT="0" distB="0" distL="114300" distR="114300" simplePos="0" locked="0" layoutInCell="1" allowOverlap="1" relativeHeight="20">
                <wp:simplePos x="0" y="0"/>
                <wp:positionH relativeFrom="column">
                  <wp:posOffset>-47625</wp:posOffset>
                </wp:positionH>
                <wp:positionV relativeFrom="paragraph">
                  <wp:posOffset>160655</wp:posOffset>
                </wp:positionV>
                <wp:extent cx="1126490" cy="291465"/>
                <wp:effectExtent l="0" t="0" r="0" b="0"/>
                <wp:wrapTopAndBottom/>
                <wp:docPr id="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descr=""/>
                        <pic:cNvPicPr>
                          <a:picLocks noChangeAspect="1" noChangeArrowheads="1"/>
                        </pic:cNvPicPr>
                      </pic:nvPicPr>
                      <pic:blipFill>
                        <a:blip r:embed="rId1"/>
                        <a:stretch>
                          <a:fillRect/>
                        </a:stretch>
                      </pic:blipFill>
                      <pic:spPr bwMode="auto">
                        <a:xfrm>
                          <a:off x="0" y="0"/>
                          <a:ext cx="1126490" cy="291465"/>
                        </a:xfrm>
                        <a:prstGeom prst="rect">
                          <a:avLst/>
                        </a:prstGeom>
                      </pic:spPr>
                    </pic:pic>
                  </a:graphicData>
                </a:graphic>
              </wp:anchor>
            </w:drawing>
          </w:r>
          <w:r>
            <w:rPr>
              <w:rFonts w:ascii="AvenirNext LT Pro Regular" w:hAnsi="AvenirNext LT Pro Regular"/>
              <w:kern w:val="0"/>
              <w:sz w:val="22"/>
              <w:szCs w:val="22"/>
              <w:lang w:val="es-CO" w:eastAsia="en-US" w:bidi="ar-SA"/>
            </w:rPr>
            <w:tab/>
          </w:r>
        </w:p>
      </w:tc>
      <w:tc>
        <w:tcPr>
          <w:tcW w:w="5669" w:type="dxa"/>
          <w:gridSpan w:val="2"/>
          <w:tcBorders>
            <w:top w:val="single" w:sz="2" w:space="0" w:color="000000"/>
            <w:left w:val="single" w:sz="2" w:space="0" w:color="000000"/>
            <w:bottom w:val="single" w:sz="2" w:space="0" w:color="000000"/>
            <w:right w:val="single" w:sz="2" w:space="0" w:color="000000"/>
          </w:tcBorders>
          <w:vAlign w:val="center"/>
        </w:tcPr>
        <w:p>
          <w:pPr>
            <w:pStyle w:val="NoSpacing"/>
            <w:widowControl w:val="false"/>
            <w:suppressAutoHyphens w:val="true"/>
            <w:spacing w:before="0" w:after="0"/>
            <w:jc w:val="center"/>
            <w:rPr>
              <w:rFonts w:ascii="AvenirNext LT Pro Regular" w:hAnsi="AvenirNext LT Pro Regular"/>
              <w:sz w:val="24"/>
              <w:szCs w:val="24"/>
              <w:lang w:val="es-ES_tradnl" w:eastAsia="es-ES"/>
            </w:rPr>
          </w:pPr>
          <w:r>
            <w:rPr>
              <w:rFonts w:eastAsia="Calibri" w:cs="Arial" w:ascii="Arial" w:hAnsi="Arial"/>
              <w:b/>
              <w:kern w:val="0"/>
              <w:sz w:val="24"/>
              <w:szCs w:val="24"/>
              <w:lang w:eastAsia="en-US" w:bidi="ar-SA"/>
            </w:rPr>
            <w:t>RESOLUCIÓN</w:t>
          </w:r>
        </w:p>
      </w:tc>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rPr>
          </w:pPr>
          <w:r>
            <w:rPr>
              <w:rFonts w:ascii="AvenirNext LT Pro Regular" w:hAnsi="AvenirNext LT Pro Regular"/>
            </w:rPr>
            <w:drawing>
              <wp:anchor behindDoc="1" distT="0" distB="0" distL="0" distR="0" simplePos="0" locked="0" layoutInCell="1" allowOverlap="1" relativeHeight="2">
                <wp:simplePos x="0" y="0"/>
                <wp:positionH relativeFrom="column">
                  <wp:posOffset>156210</wp:posOffset>
                </wp:positionH>
                <wp:positionV relativeFrom="paragraph">
                  <wp:posOffset>23495</wp:posOffset>
                </wp:positionV>
                <wp:extent cx="762000" cy="542925"/>
                <wp:effectExtent l="0" t="0" r="0" b="0"/>
                <wp:wrapNone/>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2"/>
                        <a:stretch>
                          <a:fillRect/>
                        </a:stretch>
                      </pic:blipFill>
                      <pic:spPr bwMode="auto">
                        <a:xfrm>
                          <a:off x="0" y="0"/>
                          <a:ext cx="762000" cy="542925"/>
                        </a:xfrm>
                        <a:prstGeom prst="rect">
                          <a:avLst/>
                        </a:prstGeom>
                      </pic:spPr>
                    </pic:pic>
                  </a:graphicData>
                </a:graphic>
              </wp:anchor>
            </w:drawing>
          </w:r>
        </w:p>
      </w:tc>
    </w:tr>
    <w:tr>
      <w:trPr>
        <w:trHeight w:val="238" w:hRule="atLeast"/>
      </w:trPr>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c>
        <w:tcPr>
          <w:tcW w:w="3290"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Código: A-GDAC-F-21</w:t>
          </w:r>
        </w:p>
      </w:tc>
      <w:tc>
        <w:tcPr>
          <w:tcW w:w="2379"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Versión: 01</w:t>
          </w:r>
        </w:p>
      </w:tc>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r>
    <w:tr>
      <w:trPr>
        <w:trHeight w:val="173" w:hRule="atLeast"/>
      </w:trPr>
      <w:tc>
        <w:tcPr>
          <w:tcW w:w="9355" w:type="dxa"/>
          <w:gridSpan w:val="4"/>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lang w:val="es-ES" w:eastAsia="es-ES"/>
            </w:rPr>
          </w:pPr>
          <w:r>
            <w:rPr>
              <w:rFonts w:cs="Arial" w:ascii="Arial" w:hAnsi="Arial"/>
              <w:kern w:val="0"/>
              <w:sz w:val="20"/>
              <w:szCs w:val="20"/>
              <w:lang w:val="es-CO" w:eastAsia="en-US" w:bidi="ar-SA"/>
            </w:rPr>
            <w:t>Vigente: Resolución No. 429 del 22 de diciembre del 2022</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
    <w:lvlOverride w:ilvl="0">
      <w:startOverride w:val="1"/>
    </w:lvlOverride>
  </w:num>
  <w:num w:numId="8">
    <w:abstractNumId w:val="1"/>
  </w:num>
  <w:num w:numId="9">
    <w:abstractNumId w:val="1"/>
  </w:num>
  <w:num w:numId="10">
    <w:abstractNumId w:val="1"/>
  </w:num>
  <w:num w:numId="1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O"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36d2"/>
    <w:pPr>
      <w:widowControl/>
      <w:suppressAutoHyphens w:val="true"/>
      <w:bidi w:val="0"/>
      <w:spacing w:lineRule="auto" w:line="276" w:before="0" w:after="200"/>
      <w:jc w:val="left"/>
    </w:pPr>
    <w:rPr>
      <w:rFonts w:ascii="Calibri" w:hAnsi="Calibri" w:eastAsia="Calibri" w:cs="Calibri" w:asciiTheme="minorHAnsi" w:eastAsiaTheme="minorHAnsi" w:hAnsiTheme="minorHAnsi"/>
      <w:color w:val="auto"/>
      <w:kern w:val="0"/>
      <w:sz w:val="22"/>
      <w:szCs w:val="22"/>
      <w:lang w:val="es-CO"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Header"/>
    <w:uiPriority w:val="99"/>
    <w:qFormat/>
    <w:rsid w:val="00a803c8"/>
    <w:rPr/>
  </w:style>
  <w:style w:type="character" w:styleId="PiedepginaCar" w:customStyle="1">
    <w:name w:val="Pie de página Car"/>
    <w:basedOn w:val="DefaultParagraphFont"/>
    <w:link w:val="Footer"/>
    <w:uiPriority w:val="99"/>
    <w:qFormat/>
    <w:rsid w:val="00a803c8"/>
    <w:rPr/>
  </w:style>
  <w:style w:type="character" w:styleId="TextoindependienteCar" w:customStyle="1">
    <w:name w:val="Texto independiente Car"/>
    <w:basedOn w:val="DefaultParagraphFont"/>
    <w:uiPriority w:val="99"/>
    <w:qFormat/>
    <w:rsid w:val="006331f8"/>
    <w:rPr>
      <w:rFonts w:ascii="Times New Roman" w:hAnsi="Times New Roman" w:eastAsia="Times New Roman" w:cs="Times New Roman"/>
      <w:sz w:val="24"/>
      <w:szCs w:val="24"/>
      <w:lang w:val="es-ES" w:eastAsia="es-ES"/>
    </w:rPr>
  </w:style>
  <w:style w:type="character" w:styleId="SinespaciadoCar" w:customStyle="1">
    <w:name w:val="Sin espaciado Car"/>
    <w:basedOn w:val="DefaultParagraphFont"/>
    <w:link w:val="NoSpacing"/>
    <w:uiPriority w:val="1"/>
    <w:qFormat/>
    <w:locked/>
    <w:rsid w:val="009636d2"/>
    <w:rPr>
      <w:lang w:val="en-U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TextoindependienteCar"/>
    <w:uiPriority w:val="99"/>
    <w:rsid w:val="006331f8"/>
    <w:pPr>
      <w:spacing w:lineRule="auto" w:line="240" w:before="0" w:after="0"/>
      <w:jc w:val="both"/>
    </w:pPr>
    <w:rPr>
      <w:rFonts w:ascii="Times New Roman" w:hAnsi="Times New Roman" w:eastAsia="Times New Roman" w:cs="Times New Roman"/>
      <w:sz w:val="24"/>
      <w:szCs w:val="24"/>
      <w:lang w:val="es-ES" w:eastAsia="es-E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Spacing">
    <w:name w:val="No Spacing"/>
    <w:link w:val="SinespaciadoCar"/>
    <w:uiPriority w:val="1"/>
    <w:qFormat/>
    <w:rsid w:val="00810802"/>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link w:val="EncabezadoCar"/>
    <w:uiPriority w:val="99"/>
    <w:unhideWhenUsed/>
    <w:rsid w:val="00a803c8"/>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a803c8"/>
    <w:pPr>
      <w:tabs>
        <w:tab w:val="clear" w:pos="708"/>
        <w:tab w:val="center" w:pos="4419" w:leader="none"/>
        <w:tab w:val="right" w:pos="8838" w:leader="none"/>
      </w:tabs>
      <w:spacing w:lineRule="auto" w:line="240" w:before="0" w:after="0"/>
    </w:pPr>
    <w:rPr/>
  </w:style>
  <w:style w:type="paragraph" w:styleId="NormalWeb">
    <w:name w:val="Normal (Web)"/>
    <w:basedOn w:val="Normal"/>
    <w:uiPriority w:val="99"/>
    <w:qFormat/>
    <w:rsid w:val="006331f8"/>
    <w:pPr>
      <w:spacing w:lineRule="auto" w:line="240" w:beforeAutospacing="1" w:afterAutospacing="1"/>
    </w:pPr>
    <w:rPr>
      <w:rFonts w:ascii="Times New Roman" w:hAnsi="Times New Roman" w:eastAsia="Times New Roman" w:cs="Times New Roman"/>
      <w:sz w:val="24"/>
      <w:szCs w:val="24"/>
      <w:lang w:eastAsia="es-CO"/>
    </w:rPr>
  </w:style>
  <w:style w:type="paragraph" w:styleId="ListParagraph">
    <w:name w:val="List Paragraph"/>
    <w:basedOn w:val="Normal"/>
    <w:uiPriority w:val="34"/>
    <w:qFormat/>
    <w:rsid w:val="009636d2"/>
    <w:pPr>
      <w:ind w:left="708" w:hanging="0"/>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108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jpe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Application>LibreOffice/7.3.7.2$Linux_X86_64 LibreOffice_project/30$Build-2</Application>
  <AppVersion>15.0000</AppVersion>
  <Pages>9</Pages>
  <Words>1838</Words>
  <Characters>10677</Characters>
  <CharactersWithSpaces>12482</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2024-05-31T14:12:00Z</dcterms:created>
  <dc:creator>Apoyo SGI-MIPG</dc:creator>
  <dc:description/>
  <dc:language>es-CO</dc:language>
  <cp:lastModifiedBy/>
  <dcterms:modified xsi:type="dcterms:W3CDTF">2024-06-14T16:14:32Z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