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1200.180.3.0002</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16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16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DEYEVID  PEÑA BECERRA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40217174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2</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META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VILLAVICENCIO</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DEYEVID  PEÑA BECERRA</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Seis Mil Pesos M/CTE ($406.000,00)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2 </w:t>
      </w:r>
      <w:r>
        <w:rPr>
          <w:rFonts w:cs="Arial" w:ascii="Arial" w:hAnsi="Arial"/>
        </w:rPr>
        <w:t>Municipio de VILLAVICENCIO - META,  la cual fue obtenida dd.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