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2022</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DEYEVID  PEÑA BECERRA</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40217174 1</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2</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VILLAVICENCIO</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2022</w:t>
      </w:r>
      <w:r>
        <w:rPr>
          <w:rFonts w:cs="Arial" w:ascii="Arial" w:hAnsi="Arial"/>
          <w:lang w:val="es-ES"/>
        </w:rPr>
        <w:t>, e</w:t>
      </w:r>
      <w:r>
        <w:rPr>
          <w:rFonts w:cs="Arial" w:ascii="Arial" w:hAnsi="Arial"/>
        </w:rPr>
        <w:t xml:space="preserve">l contribuyente </w:t>
      </w:r>
      <w:r>
        <w:rPr>
          <w:rFonts w:cs="Arial" w:ascii="Arial" w:hAnsi="Arial"/>
          <w:b/>
        </w:rPr>
        <w:t xml:space="preserve">DEYEVID  PEÑA BECERRA </w:t>
      </w:r>
      <w:r>
        <w:rPr>
          <w:rFonts w:cs="Arial" w:ascii="Arial" w:hAnsi="Arial"/>
        </w:rPr>
        <w:t xml:space="preserve">identificado con </w:t>
      </w:r>
      <w:r>
        <w:rPr>
          <w:rFonts w:cs="Arial" w:ascii="Arial" w:hAnsi="Arial"/>
          <w:b/>
        </w:rPr>
        <w:t>40217174</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Diez Mil Pesos M/CTE ($410.000,00)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