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ALCALDIA MUNICIPAL DE AGUAZUL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891855200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1200.65.202402029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2024-08-06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2.176.000,00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LEIDY TATIANA SANCHEZ CACERES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1116552162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CL 13 1 67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AGUAZUL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Dos Millones Ciento Setenta y Seis Mil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3137750518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ACTA 7 PARCIAL 6 CONTRATO No 143 DE 2024
 PRESTAR LOS SERVICIOS TECNICOS EN EL CARGUE DE INFORMACION DE LAS MEDIDAS CORRECTIVAS DESDE LA NOTIFICACIÓN Y DEMAS ACTUACIONES ADMINISTRATIVAS PROFERIDAS EN VIRTUD DE LOS PROCEDIMIENTOS “PROCESO VERBAL ABREVIADO” Y “DESPACHOS COMISORIOS”, EN CUMPLIMIENTO DEL PLAN INTEGRAL DE SEGURIDAD Y CONVIVENCIA CIUDADANA VIGENTE”, EN EL MUNICIPIO DE AGUAZUL CASANARE  PAGO DEL COMPROBANTE DE EGRESO DE LA ORDEN D PAGO # 202401707 
ADICIONAL No.1 y PRORROGA No.1 AL CONTRATO DE PRESTACIÓN DE SERVICIOS DE APOYO A LA GESTIÓN No.143 DEL 13 DE FEBRERO DE 2024 .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202400182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202400188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2.2.45.4501.1000.2020850100026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DESARROLLO DE ESTRATEGIAS Y ACCIONES DE CONVIVENCIA Y SEGURIDAD CIUDADANA EN EL MUNICIPIO DE AGUAZUL CASANARE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CONTRIBUCIÓN SOBRE CONTRATOS DE OBRA PÚBLICA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953.333,33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202400517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202400531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2.2.45.4501.1000.2020850100026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DESARROLLO DE ESTRATEGIAS Y ACCIONES DE CONVIVENCIA Y SEGURIDAD CIUDADANA EN EL MUNICIPIO DE AGUAZUL CASANARE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R.B. CONTRIBUCIÓN SOBRE CONTRATOS DE OBRA PÚBLICA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1.246.666,67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2.200.000,00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24010105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Cuentas por pagar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2.176.000,00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11100613038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BBVA 077-064079 IMPUESTO DE SEGURIDAD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2.176.000,00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2.176.000,00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2.176.000,00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ICA Demás actividades de servicio 10*1000 (365)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2.200.000,00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22.000,00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Sobretasa Bomberil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22.000,00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2.000,00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ALBA YOLANDA RIVERA LOPEZ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