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1200.65.202201483</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2022-10-14</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3.400.000,00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ADRIANA MILENA MEDINA CHAURA</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53130865</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Tres Millones Cuatrocientos Mil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202201300 PRESTACIÓN DE SERVICIOS PROFESIONALES Y DE APOYO A LA GESTIÓN COMO ABOGADO PARA QUE ASISTA ASESORE REPRESENTE JUDICIAL Y EXTRAJUDICIALMENTE AL MUNICIPIO DE OROCUÉ CASANARE, ASÍ MISMO EMITIR CONCEPTOS JURÍDICOS PARA LA DEFENSA DE LA ENTIDAD EN ARAS DE DAR CUMPLIMIENTO DE LOS OBJETIVOS INSTITUCIONALES EN EL MARCO DEL MODELO INTEGRADO DE PLANEACIÓN Y GESTIÓN MIPG.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24905401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Honorarios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3.400.000,00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3.400.000,00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3.400.000,00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3.400.000,00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