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202201259 PRESTAR LOS SERVICIOS DE APOYO A LA GESTION MEDIANTE EL DESARROLLO DE ACTIVIDADES PARA LA POBLACION ADULTO MAYOR EN  EL CENTRO DIA ELSA LETICIA CAMACHO DE VIDALES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