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202300027 RESOLUCIÓN No 100.04.053 DE FEBRERO 10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