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UNIVERSIDAD INTERNACIONAL DEL TROPICO AMERICANO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844002071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1200.65.202400003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2024-10-29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1.716.807,00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JAIR ALEXANDER RIAÑO CASTAÑEDA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1121827781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CL 2 3 35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YOPAL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Un Millón Setecientos Dieciseis Mil Ochocientos Siete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DEL COMPROBANTE DE EGRESO DE LA ORDEN D PAGO # 202400002  Viaje a Corea del Sur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202400898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202401071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2.1.1.01.01.001.01.01-2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SUELDO BASICO PERSONAL PROFESORAL PROVISIONAL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RECURSOS NACIÓN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2.000.000,00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2.000.000,00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24905401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Honorarios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1.716.807,00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11100648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0981007808 BBVA CONTRATO INTERADMINISTRATIVO N°TDR 103.13-000307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1.716.807,00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1.716.807,00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1.716.807,00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RFT SERVICIOS 4%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4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1.680.672,27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67.227,00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REY ICA 10 X 1000 YOPAL SPGR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10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1.680.672,27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168.067,00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RETEIVA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15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319.327,73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47.899,00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FARLEY MAGALY CAMARGO RODRIGUEZ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