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Empresa FLS</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1200.65.202200072</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2022-09-06</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30.146.942,00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ASOCIACION AUTORI INDIG SALIVA</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844000636</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CLL4A 12A 06 BARRIO LA UNION</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Treinta Millones Ciento Cuarenta y Seis Mil Novecientos Cuarenta y Dos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202200065 EJECTUAR EL PLAN DE INTERVENCIONES COLECTIVAS  REALIZANDO  ACCIONES DE PROMOCIÓN DE LA SALUD Y GESTIÓN DEL RIESGO, DE CONFORMIDAD CON LO ESTABLECIDO EN EL PLAN DECENAL DE SALUD PÚBLICA Y EL PLAN TERRITORIAL DE SALUD, MEDIANTE ARTICULACION, TRANSMISION DE SABERES PARA  AVANZAR EN LA CONSTRUCCIÓN DEL MODELO DE ATENCIÓN INTEGRAL EN  LAS COMUNIDADES INDIGENAS DE LA ETNIA SALIBA CON EL FIN DE IMPACTAR POSITIVAMENTE LOS INDICADORES DE SALUD DEL MUNICIPIO DE OROCUÉ CASANARE.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Proveedores de Bienes y Servic</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30.146.942,00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11100601258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Bac 486303003258 salud publica</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30.146.942,00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30.146.942,00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30.146.942,00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