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1200.65.202200503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2022-04-08</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24.608.300,00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SERVICIOS Y CONSTRUCCIONES DEL ORIENTE LIMITADA - SERCORIENTE LTDA</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844003489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MZ A LOT 16 ZONA INDUSTRIAL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Veinticuatro Millones Seiscientos Ocho Mil Trescientos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3133900806</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202200404 PRESTACION DEL SERVICIO DE ALQUILER DE UNA RETROEXCAVADORA DE ORUGA PARA EL APOYO EN EL MANTENIMIENTO DE LAS VIAS DE LAS VEREDAS REMOLINO, LA ESMERALDA, RESGUARDOS EL CONCEJO, SAN JUANITO Y EL DUYA, DEL MUNICIPIO DE OROCUE DEPARTAMENTO DE CASANARE.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24010101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Proveedores de Bienes y Servic</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5.111.909,25</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24905802</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Alquiler de maquinaria pesada</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19.496.390,75</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11100502010</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63556842698 funcionamiento</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24.608.300,00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24.608.300,00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24.608.300,00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