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11100600046-Bancolombia 840353134-51 funcionamiento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22.211.600,04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19.631.000,04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-2.580.600,00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22.211.600,04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22.211.600,04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BANCO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1.086.000,00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202211292022090801149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-2.752.200,00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NOTA73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2017-11-30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-2.000.000,00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NOTA05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2017-08-02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1.085.600,00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-2.580.600,00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2023-07-14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