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Mayo-2022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3.133.974.726,63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2.184.460.496,63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950.810.230,00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1.296.000,00</w:t></w:r></w:p></w:tc></w:tr><w:tr w:rsidR="00A705A2" w:rsidRPr="008D1709" w14:paraId="2A0EA7F8" w14:textId="77777777" w:rsidTr="00B81217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3.133.974.726,63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3.133.974.726,63</w:t></w:r></w:p></w:tc></w:tr><w:tr w:rsidR="00B81217" w:rsidRPr="008D1709" w14:paraId="1AA49BCF" w14:textId="77777777" w:rsidTr="00B81217"><w:tc><w:tcPr><w:tcW w:w="3827" w:type="dxa"/></w:tcPr><w:p w14:paraId="0BB6186A" w14:textId="7C42211F" w:rsidR="00B81217" w:rsidRPr="008D1709" w:rsidRDefault="00B81217" w:rsidP="00A705A2"><w:pPr><w:rPr><w:rFonts w:ascii="Arial Narrow" w:hAnsi="Arial Narrow"/><w:b/><w:bCs/></w:rPr></w:pPr><w:r><w:rPr><w:rFonts w:ascii="Arial Narrow" w:hAnsi="Arial Narrow"/><w:b/><w:bCs/></w:rPr><w:t>DIFERENCIA POR CONCILIAR</w:t></w:r></w:p></w:tc><w:tc><w:tcPr><w:tcW w:w="2828" w:type="dxa"/></w:tcPr><w:p w14:paraId="63D363DC" w14:textId="77777777" w:rsidR="00B81217" w:rsidRPr="008D1709" w:rsidRDefault="00B81217" w:rsidP="00A705A2"><w:pPr><w:jc w:val="center"/><w:rPr><w:rFonts w:ascii="Arial Narrow" w:hAnsi="Arial Narrow"/></w:rPr></w:pPr></w:p></w:tc><w:tc><w:tcPr><w:tcW w:w="3278" w:type="dxa"/></w:tcPr><w:p w14:paraId="3FAAE875" w14:textId="1751C81C" w:rsidR="00B81217" w:rsidRPr="008D1709" w:rsidRDefault="00B81217" w:rsidP="00A705A2"><w:pPr><w:jc w:val="right"/><w:rPr><w:rFonts w:ascii="Arial Narrow" w:hAnsi="Arial Narrow"/></w:rPr></w:pPr><w:r><w:rPr><w:rFonts w:ascii="Arial Narrow" w:hAnsi="Arial Narrow"/></w:rPr><w:t>0,00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POWER GROUP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YV BOHORQUEZ 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GRUPO COY SAS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TELEMATICA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ESTRELLA INTER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6.166.000,00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EXPRO-GULF-LIMI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UNION TEMPORAL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28.667.000,00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EMPRESA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INTERBNAC FRONTERA ENERGY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COLOMBIANA DE 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PETROEORKS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5.986.000,00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9.163.000,00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  RIA#O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195.000,00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950.810.230,00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2022052601482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2022-05-26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2.000,00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0501000942360322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1.294.000,00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1.296.000,00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LEIDER FABIAN PONARE CARIBANA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