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Julio-2022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3.486.692.658,90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2.372.081.743,90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1.114.612.915,00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3.486.692.658,90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3.486.692.658,90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POWER GROUP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FRONTERA ENERGY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35.906.000,00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1.170.001,00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MyA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Y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SICMAR CATERING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 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ECOPETROL S A,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3.338.000,00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5.389.000,00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5.698.000,00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SEICOM CASANARE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ATENCI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C&S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POWER GROUP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2.587.000,00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1.965.400,00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19.958.000,00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EFECT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SUCU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4.103.000,00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 HUMADEA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21.500,00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NEXARTE SERVICI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VIGIA SERVICIO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41.499.000,00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CONSULTORIA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SEICOM CASANARE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3.644.000,00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HUGHES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2022-07-29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114.000,00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1.114.612.915,00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2.000,00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YOLMAN JOROPA YAVIMAY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