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COLPENSIONES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900336004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AJUSTE CONTABLE POR INTERESES DEJADO DE CONTABILIZAR EN CE No.0025 Y 0027 DEL 09/02/2023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51030700002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POR INTERESES DEJADO DE CONTABILIZAR EN CE No.0025 Y 0027 DEL 09/02/2023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COLPENSIONES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POR INTERESES DEJADO DE CONTABILIZAR EN CE No.0025 Y 0027 DEL 09/02/2023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COLPENSIONES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1.100,00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1.100,00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