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ASESORA DE PLANEACION (E)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REALIZAR E INCORPORAR LOS ESTUDIOS DE EVALUACION DE AMENAZA  VULNERABILIDAD Y RIESGOS POR MOVIMIENTOS DE REMOCION EN MASA E INCENDIOS FORESTALES AVENIDA TORRENCIAL E INUNDACION A NIVEL BASICO PARA EL AREA RURAL Y DETALLADO Y DE NORMA URBANISTICA PARA EL AREA URBANA Y DE EXPANSION DE MUNICIPIO DE YOPAL-CASANARE.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$176.322.300,00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$176.322.300,00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E INCORPORAR LOS ESTUDIOS DE EVALUACION DE AMENAZA  VULNERABILIDAD Y RIESGOS POR MOVIMIENTOS DE REMOCION EN MASA E INCENDIOS FORESTALES AVENIDA TORRENCIAL E INUNDACION A NIVEL BASICO PARA EL AREA RURAL Y DETALLADO Y DE NORMA URBANISTICA PARA EL AREA URBANA Y DE EXPANSION DE MUNICIPIO DE YOPAL-CASANARE..CONTRATO No 1009 de 2019.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$176.322.300,00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$176.322.300,00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PLANEACION (E)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1192.64.2.202000059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