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2020-12-31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OFICINA ASESORA DE PLANEACION (E)</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SONIA SIDNEY RUIZ GARCIA</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Aeronave  DRONE Peso (batería y hélices incluidas) 1375 g Tamaño diagonal (hélices excluidas) 350 mm Velocidad máxima de ascenso Modo S: 6 m / s   Modo P: 5 m / s Velocidad máxima de descenso Modo S: 4 m / s   Modo P: 3 m / s Máxima velocidad   Modo S: 72 kph (45 mph) Modo A: 58 kph (36 mph) Modo P: 50 kph (31 mph) Ángulo de inclinación máximo Modo S: 42 ° Modo A: 35 °  Modo P: 25  Ver anexo Ficha Técnica</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$8.568.000,00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$8.568.000,00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Estación Total. Medición puntual precisa y rápida posee un compensador de doble eje. Con el fin de facilitar su trabajo diario, incorpora un sofware intuitivo que se ejecuta en ambas pantallas de la estación total. Medición sin prisma de 350 m, medición con prisma de 3000 m, precisión de 2mm + 2ppm, descarga de datos por Bluetooth, SD,USB, y USB cable, doble panel con pantalla retroiluminada, plomada laser, memoria interna de 20.000 puntos, baterías hasta 16 horas. Incluye, Trípode en aluminio doble seguro con estuche REF: SDI0005-B (1 und), Prisma con porta prisma naranja REF: ZBZ18 (2 UND), Estuche de lona para estación total (1 UND), Bastón topográfico tipo LEICA 5.2 M (2 UND), Estación total (1 UND). Precisión de 2" y un rango de medición sin prima de 350 m.,   medición con prisma de 3000 m, precisión de 2mm + 2ppm, descarga de datos por Bluetooth, SD,USB, y USB cable. Ver anexo Ficha Técnica, PATRONES MINIMOS DE DESEMPEÑO Y OTROS.</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$16.422.000,00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$16.422.000,00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GPS. RECEPTOR SUBMETRICO GNSSL1 Ref. G100-G100 GNSS RECELVER (WITH BT) - BATERIA RECARGABLE -1ADAPTADOR AC-CABLE DE CARGA DE 9-PM, 1 CABLE A ANTENA GNSS EXTERNA, 1 ESTUCHE DE BRAZO INCLUYE ANTENA AT330 GNSS (1 UNID),RECEPTOR SUBMETRICO GNSS L1 Ref. G100 (1 UNID).</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2</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$6.545.000,00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$13.090.000,00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ADQUISICION DE EQUIPOS ESTACION TOTAL, GPS  Y EQUIPO DE GRABACION Y FOTOGRAFIA AEREA (DRONE), PARA MEJORAR LA CAPACIDAD INSTITUCIONAL RESPECTO AL POSICIONAMIENTO GEOGRAFICO Y CARTOGRAFICO DE PREDIOS CON DESTINACION URBANISTICA. MUNICIPIO DE YOPAL. CONTRATO 2047 DE 2020. LIQUIDACION.. 2020-16350101 Maquinaria Y Equipo / EQUIPO DE CONSTRUCCION</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$38.080.000,00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$38.080.000,00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SONIA SIDNEY-RUIZ GARCIA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SONIA SIDNEY RUIZ GARCIA</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OFICINA ASESORA DE PLANEACION (E)</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1192.64.2.202000079</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