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2020-11-10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19 %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$12.303,00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$156.666.402,00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EXENTO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$40.850,00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$520.183.900,00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 GRAVADOS AL 5 %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12734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$10.100,00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$128.613.400,00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HACER ENTREGA DE PAQUETES ALIMENTARIOS EN LA MODALIDAD DE RACIÓN PARA PREPARAR EN CASA (RCP), COMO SERVICIO DE ALIMENTACIÓN ESCOLAR DIRIGIDO A LOS ESTUDIANTES TITULARES DE DERECHO FOCALIZADOS DENTRO DE LOS ESTABLECIMIENTOS EDUCATIVOS OFICIALES DEL MUNICIPIO DE YOPAL DEPARTAMENTO DE CASANARE, EN EL MARCO DEL ESTADO DE EMERGENCIA ECONOMICA Y SOCIAL Y ECOLOGICA, OCASIONADO POR EL VIRUS COVID-19. CONTRATO 854 DE 2020. ACTA PARCIAL 2.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$805.463.702,00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YESID JIMENEZ SILVA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EDUCACION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EDUCACION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1192.64.2.202000020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