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2020-12-31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SECRETARIA DE OBRAS PUBLICAS</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SONIA SIDNEY RUIZ GARCIA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DIRECCIONAL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$2.221.730,00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$22.217.300,00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COUPLING CRUCETA 15 ½</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$867.510,00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$3.470.040,00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ACEITE HIDRÁULICO ISO 68</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$1.732.000,00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$6.928.000,00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BORNES BATERIA TIPO CARRETERA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$13.328,00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$266.560,00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ACEITE MOTOR 15W40</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3</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$2.914.000,00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$8.742.000,00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MAXTER DE ENCENDIDO 12 V</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$198.730,00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$993.650,00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JUEGO DE BANDAS 2X TRASERAS COMPLETO PARA SISTEMA DE FRENOS VOLQUETA TANDEM MERCEDES BENZ FREIGTHLINER MODELO 2.014 (8 BANDAS) CON RESORTES  Y RODAJAS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$1.563.660,00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$23.454.900,00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12.16-5</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8</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$1.059.100,00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$8.472.800,00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KIT CENTRO CARDAN VOLQUETA TANDEM MERCEDES BENZ FREIGTHLINER MODELO 2.014</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5</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$338.079,00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$1.690.395,00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TRACCION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$2.277.660,00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$9.110.640,00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245/75 R 16 DIRECCIONAL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$662.830,00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$2.651.320,00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245/75 R 16 TRACCION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$662.830,00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$2.651.320,00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DIRECCIONAL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$2.221.730,00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$4.443.460,00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AJUSTE AL PESO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$0,03</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$0,03</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TRACCION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$2.277.660,00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$36.442.560,00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TRACCION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52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$2.277.660,00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$118.438.320,00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CRUCETAS  CARDAN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$170.170,00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$2.042.040,00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BORNES BATERIA TIPO PESADO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$9.401,00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$188.020,00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JUEGO DE TERMINALES DE DIRECCION (X2) VOLQUETA TANDEM MERCEDES BENZ FREIGTHLINER MODELO 2.014</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7</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$205.037,00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$1.435.259,00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CARPA PLATON  VOLQUETA SENCILLA MERCEDES BENZ FREIGTHLINER MODELO 2.014</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$809.200,00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$4.855.200,00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ACEITE PENETRANTE  AFLOJADOR DE CORROCION</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$29.393,00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$352.716,00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LLANTA 12R 22.5 DIRECCIONAL</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14</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$2.221.730,00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$31.104.220,00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ROLLO CINTA AISLANTE</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$7.417,27</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$81.589,97</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LIMPIA CONTACTOS ELECTRICO</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6</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$29.750,00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$178.500,00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CARPA PLATON  VOLQUETA TANDEM MERCEDES BENZ FREIGTHLINER MODELO 2.014</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9</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$943.670,00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$8.493.030,00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PASTAS STOP TIPO CHEVROLET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8</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$13.804,00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$110.432,00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SUMINISTRO DE LUBRICANTES LLANTAS Y REPUESTOS PARA GARANTIZAR LA OPERACIÓN DE LA MAQUINARIA QUE EJECUTA LABORES ENMARCADAS DENTRO DEL PROYECTO DE MEJORAMIENTO DE LA INFRAESTRUCTURA VIAL DEL MUNICIPIO DE YOPAL ,DEPARTAMENTO DE CASANARE.CONTRATO 1867 DE 2020.LIQUIDACION .2020-15149090-1 Materiales Y Suministros / BIENES DE CONSUMO</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$298.814.272,00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$298.814.272,00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SONIA SIDNEY-RUIZ GARCIA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SONIA SIDNEY RUIZ GARCIA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SECRETARIA DE OBRAS PUBLICAS</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1192.64.2.202000076</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