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2021-05-11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DIRECCIÓN DE TIC</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MONICA LIDIA MARQUEZ PARADA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UPS Online trifásica de 30 KVA de doble conversión, incluye Banco de Baterías, transporte, entrega e instalación en sitio a todo costo. Tecnologia Online Doble conversión, con 12 minutos de autonomía a plena carga, con entrada 208/120 VAC Trifásica y salida 208/120 VAC Trifásica, de alta frecuencia, suichada a 60 HZ hz+/-5% , frecuencia de salida, Bypass electrónico y de mantenimiento, senosoidal de salida, con THD corriente entrada menor al 5%, con transformador de aislamiento a la salida del inversor, y factor de potencia de salida 0.95, discplay de medida microcontrolado con archivo	histórico	de	eventos. Cargador robusto para autonomía de baterías adicional, Incluye cableado e instalación de puntos eléctricos otros voltajes disponibles, 6 pulsos estándar, 12 pulsos opcional, Frecuencia 60 Hz ±5%., Factor de potencia, ≥0,95, THD corriente, ≤10%, Protecciones, Breaker-fusible, electrónico - batería baja, alto/bajo voltaje entrada, corriente de carga de baterías limitada. DPS incluido,Voltaje - número de hilos 120/208 Vac ±1% - 5 hilos F-F-F- N-T otros voltajes disponibles, Leds rectificador, inversor, bypass, batería     baja,     sobrecarga,     voltímetro     de      salida 1.Incluir    sistema    de    desplazamiento    por     ruedas. 2.Banco de baterías externo con desplazamiento por ruedas 3. Cumplir normas de fabricación EN62040.MARCA : ATSEI</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$56.269.150,00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$56.269.150,00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Computador de escritorio-Intel® Core™ i7- 8700 Processor; (6 Cores 4.6 GHz, Memoria de 8 GB), 12 MB Cache, DD 1TB, 3.5 “ SATA, HDD/SDD SATA/M.2 - USB – Mouse -Teclado	USB Sistema Operativo Windows 10 Profesional	x64. Monitor 21.5” Wide LED monitor. – Small Form Factor Chassis. -Equipo de marca reconocida (monitor, teclado, mouse y CPU de la misma marca). MARCA: LENOVO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33</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$5.714.380,00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$188.574.540,00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UPS Online trifásica de 20 KVA de doble conversión, incluye Banco de Baterías, transporte, entrega e instalación en sitio a todo costo. Tecnologia Online Doble conversión, con 12 minutos de autonomía a plena carga, con entrada 208/120 VAC Trifásica y salida 208/120 VAC Trifásica, de alta frecuencia, suichada a 60 HZ hz+/-5% , frecuencia de salida, Bypass electrónico y de mantenimiento, senosoidal de salida, con THD corriente entrada menor al 5%, con transformador de aislamiento a la salida del inversor, y factor de potencia de salida 0.95, discplay de medida microcontrolado con archivo histórico de eventos. Cargador robusto para autonomía de baterías adicional, Incluye cableado e instalación de puntos eléctricos otros voltajes disponibles, 6 pulsos estándar, 12 pulsos opcional, Frecuencia 60 Hz ±5%., Factor de potencia, ≥0,95, THD corriente, ≤10%, Protecciones, Breaker-fusible, electrónico - batería baja, alto/bajo voltaje entrada, corriente de carga de baterías limitada. DPS incluido,Voltaje - número de hilos 120/208 Vac ±1% - 5 hilos F-F-F-N-T otros voltajes disponibles, Leds rectificador, inversor, bypass, batería baja, sobrecarga, voltímetro de salida.1. Incluir sistema de desplazamiento por ruedas.2. Banco de baterías externo con desplazamiento por ruedas.3. Cumplir normas de fabricación EN62040. MARCA : ATSEI</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$44.082.360,48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$44.082.360,48</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SUMINISTRO E INSTALACION DE EQUIPOS PARA LA INSFRAESTRUCUTA TECNOLOGICA DE LAS INSTALACIONES DELA ALCALDIA DE YOPAL. CONTRATO 2007 DE 2020. ACTA PARCIAL 2. 2021-16350401 COMP Equipos de comunicación y computación / EQUIPO COMPUTACIÓN</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$288.926.050,48</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$288.926.050,48</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MONICA LIDIA-MARQUEZ PARADA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MONICA LIDIA MARQUEZ PARADA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DIRECCIÓN DE TIC</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1192.64.2.202100009</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