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2020-12-31</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OFICINA ASESORA DE PLANEACION (E)</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SONIA SIDNEY RUIZ GARCIA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Aeronave  DRONE Peso (batería y hélices incluidas) 1375 g Tamaño diagonal (hélices excluidas) 350 mm Velocidad máxima de ascenso Modo S: 6 m / s   Modo P: 5 m / s Velocidad máxima de descenso Modo S: 4 m / s   Modo P: 3 m / s Máxima velocidad   Modo S: 72 kph (45 mph) Modo A: 58 kph (36 mph) Modo P: 50 kph (31 mph) Ángulo de inclinación máximo Modo S: 42 ° Modo A: 35 °  Modo P: 25  Ver anexo Ficha Técnica</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$8.568.000,00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$8.568.000,00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Estación Total. Medición puntual precisa y rápida posee un compensador de doble eje. Con el fin de facilitar su trabajo diario, incorpora un sofware intuitivo que se ejecuta en ambas pantallas de la estación total. Medición sin prisma de 350 m, medición con prisma de 3000 m, precisión de 2mm + 2ppm, descarga de datos por Bluetooth, SD,USB, y USB cable, doble panel con pantalla retroiluminada, plomada laser, memoria interna de 20.000 puntos, baterías hasta 16 horas. Incluye, Trípode en aluminio doble seguro con estuche REF: SDI0005-B (1 und), Prisma con porta prisma naranja REF: ZBZ18 (2 UND), Estuche de lona para estación total (1 UND), Bastón topográfico tipo LEICA 5.2 M (2 UND), Estación total (1 UND). Precisión de 2" y un rango de medición sin prima de 350 m.,   medición con prisma de 3000 m, precisión de 2mm + 2ppm, descarga de datos por Bluetooth, SD,USB, y USB cable. Ver anexo Ficha Técnica, PATRONES MINIMOS DE DESEMPEÑO Y OTROS.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$16.422.000,00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$16.422.000,00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GPS. RECEPTOR SUBMETRICO GNSSL1 Ref. G100-G100 GNSS RECELVER (WITH BT) - BATERIA RECARGABLE -1ADAPTADOR AC-CABLE DE CARGA DE 9-PM, 1 CABLE A ANTENA GNSS EXTERNA, 1 ESTUCHE DE BRAZO INCLUYE ANTENA AT330 GNSS (1 UNID),RECEPTOR SUBMETRICO GNSS L1 Ref. G100 (1 UNID).</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$6.545.000,00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$13.090.000,00</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ADQUISICION DE EQUIPOS ESTACION TOTAL, GPS  Y EQUIPO DE GRABACION Y FOTOGRAFIA AEREA (DRONE), PARA MEJORAR LA CAPACIDAD INSTITUCIONAL RESPECTO AL POSICIONAMIENTO GEOGRAFICO Y CARTOGRAFICO DE PREDIOS CON DESTINACION URBANISTICA. MUNICIPIO DE YOPAL. CONTRATO 2047 DE 2020. LIQUIDACION.. 2020-16350101 Maquinaria Y Equipo / EQUIPO DE CONSTRUCCION</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$38.080.000,00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$38.080.000,00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EDISON JIMMY-BARRERA CABRERA</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SONIA SIDNEY RUIZ GARCIA</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OFICINA ASESORA DE PLANEACION (E)</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1192.64.2.202000079</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