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2020-12-31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SECRETARIA DE ACCION SOCIAL</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SILVIA CATALINA VEGA CALDERON</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kit promocional, incentivo a la participación: BOTILITO: Elaborado en plástico, tipo caramañola con broche para colgar, 16 oz, impresión de logotipo evento en tipografía a una tinta. TULA  fabricada en polyester, tamaño 41x31 cm, impermeable con bolsillo, estampado logotipo en screen a una tinta. CAMISETA fabricada en algodón y polyester, tipo T-shirt, cuello redondo, estampado logotipo a 4 tintas tamaño carta en espalda y logotipo a 4 tintas en pecho lado izquierdo. GORRA TIPO TRUCKER fabricada en polyester, tipo Tucker con malla en la parte trasera, logotipo estampado a 4 tintas en el frente. BOTELLA DE ALCOHOL al 70% en envase plástico tipo spray de 60 ml, etiqueta impresa en vinilo adhesivo con logo del evento a full color. TOALLA PARA MANOS fabricada en algodón. Medidas: 30x20 cm, color blanco, logotipo bordado a color.</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100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$124.950,00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$12.495.000,00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Elemento de motivación tipo premio para el ganador de estación de juego.  estas estaciones estarán conformadas por 10 personas, el participante que se posicione en el primer lugar dentro de la prueba indicada ganará el incentivo: PARLANTE BLUETOOTH XT, resistente al agua (NO SUMERGIBLE), Batería 10000 mAH, Adaptador de carga, Correa, Ranura microSD, Ranura para memoria USB, Cable Auxiliar, Potencia Bluetooth 10 Mt.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$135.065,00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$1.350.650,00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REALIZAR UN EVENTO LUDICO RECREATIVO DIRIGIDO AL FORTALECIMIENTO, INCLUSIÓN E IGUALDAD DE DERECHOS DE LA POBLACION LGBT+ DEL MUNICIPIO DE YOPAL..CONTRATO 2050 DE 2020,2020-15149090-1 Materiales Y Suministros / BIENES DE CONSUMO.LIQUIDACION.</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$13.845.650,00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$13.845.650,00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SILVIA CATALINA-VEGA CALDERON</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SILVIA CATALINA VEGA CALDERON</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SECRETARIA DE ACCION SOCIAL</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1192.64.2.202000074</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