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2021-04-08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SECRETARIA DE OBRAS PUBLICAS</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MARTHA EDDY MOJICA RAMIREZ</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COMBUSTIBLE DIESEL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5715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$10.733,00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$61.339.095,00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SUMINISTRO DE COMBUSTIBLE DIESEL PARA LA OPERACION DE LA MAQUINARIA QUE EJECUTA LABORES ENMARCADAS DENTRO DEL PROYECTO DE MEJORAMIENTO  DE LA INFRAESTRUCTURA VIAL DEL MUNICIPIO DE YOPAL.CONTRATO 0568 DE 2020. 2021-15149090 COMBUSTIBLE Adquisición de Bienes / ADQUISICION COMBUSTIBLE Y LUBRICANTES. ACTA PARCIAL 3.</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$61.339.095,00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$61.339.095,00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MARTHA EDDY-MOJICA RAMIREZ</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MARTHA EDDY MOJICA RAMIREZ</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SECRETARIA DE OBRAS PUBLICAS</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1192.64.2.202100004</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