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RINCON BETANCOURT KAREN JULIETH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14/03/2023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1116041790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JEFE DE LA OFICINA JURÍDICA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4.291.372,00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12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31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03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17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125.165,00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04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12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88.903,00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4.505.440,00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 REMUNERADAS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26.0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3.904.715,00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2.252.720,00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286.091,00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6.443.526,00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6.443.526,00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RINCON BETANCOURT KAREN JULIETH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1116041790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hacienda@hatocorozal-casanare.gov.co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230627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