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202231011358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31011358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PINEROS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MOLANO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LUZ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MILA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1.920.000,00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