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DAZA SANABRIA LAUDIS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68302067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AUX. ADMINISTRATIVO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1.723.923,00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31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140.606,00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72.749,00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71.830,00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02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22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78.720,00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2.087.828,00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1.461.480,00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1.043.914,00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114.928,00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PORVENIR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SANITAS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58.500,00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2.620.322,00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117.000,00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2.503.322,00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DAZA SANABRIA LAUDIS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68302067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hacienda@hatocorozal-casanare.gov.co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230201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