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202246361073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46361073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BERROTERAN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HURTADO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ALCIRA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31.422.808,00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5.468.129,00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368.909,00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3.074.244,00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40.334.090,00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