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21.992.479,23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17.742.913,62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10.859.308,58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175.526,15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100.04.150 DE ABRIL 22 DE 2023 - POR MEDIO DE LA CUAL SE DESTINAN RECURSOS PARA GARANTIZAR LA CONTINUIDAD DEL ASEGURAMIENTO DE LOS AFILIADOS AL RÉGIMEN SUBSIDIADO LMA MES ABRIL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50.770.227,58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