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MARYURI LORENA MORALES PERILLA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1026573068 - 4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110.10.01.0144 DEL 2023-06-13 - PRESTAR APOYO EN LA GESTIÓN QUE ADELANTA LA INSPECCIÓN DE POLICÍA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543.400,00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1.525.700,00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