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${numeroliquidacionoficial}</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${fechaliquidacionoficial</w:t>
            </w:r>
            <w:r w:rsidR="00CB1228" w:rsidRPr="00EF0BF4">
              <w:rPr>
                <w:rFonts w:ascii="Arial" w:hAnsi="Arial" w:cs="Arial"/>
                <w:position w:val="-5"/>
                <w:sz w:val="22"/>
                <w:szCs w:val="22"/>
              </w:rPr>
              <w:t>an</w:t>
            </w:r>
            <w:r w:rsidR="00752F14" w:rsidRPr="00EF0BF4">
              <w:rPr>
                <w:rFonts w:ascii="Arial" w:hAnsi="Arial" w:cs="Arial"/>
                <w:position w:val="-5"/>
                <w:sz w:val="22"/>
                <w:szCs w:val="22"/>
              </w:rPr>
              <w:t>}</w:t>
            </w:r>
            <w:r w:rsidR="00CB1228" w:rsidRPr="00EF0BF4">
              <w:rPr>
                <w:rFonts w:ascii="Arial" w:hAnsi="Arial" w:cs="Arial"/>
                <w:position w:val="-5"/>
                <w:sz w:val="22"/>
                <w:szCs w:val="22"/>
              </w:rPr>
              <w:t>-${fechaliquidacionoficialmn}-${fechaliquidacionoficialdn}</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${vigenciaexpediente}</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${numeroexpediente}</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${fechaexpediente}</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w:t>
            </w:r>
            <w:proofErr w:type="spellStart"/>
            <w:r w:rsidR="004624B0" w:rsidRPr="00EF0BF4">
              <w:rPr>
                <w:rFonts w:ascii="Arial" w:hAnsi="Arial" w:cs="Arial"/>
                <w:b/>
                <w:bCs/>
                <w:position w:val="-5"/>
                <w:sz w:val="22"/>
                <w:szCs w:val="22"/>
                <w:lang w:val="es-ES"/>
              </w:rPr>
              <w:t>propietariovehiculo</w:t>
            </w:r>
            <w:proofErr w:type="spellEnd"/>
            <w:r w:rsidR="004624B0" w:rsidRPr="00EF0BF4">
              <w:rPr>
                <w:rFonts w:ascii="Arial" w:hAnsi="Arial" w:cs="Arial"/>
                <w:b/>
                <w:bCs/>
                <w:position w:val="-5"/>
                <w:sz w:val="22"/>
                <w:szCs w:val="22"/>
                <w:lang w:val="es-ES"/>
              </w:rPr>
              <w:t>}</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${tnipropietariovehiculo}</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w:t>
            </w:r>
            <w:r w:rsidR="006A1359" w:rsidRPr="00EF0BF4">
              <w:rPr>
                <w:rFonts w:ascii="Arial" w:hAnsi="Arial" w:cs="Arial"/>
                <w:position w:val="-5"/>
                <w:sz w:val="22"/>
                <w:szCs w:val="22"/>
              </w:rPr>
              <w:t>direccionliquidacionoficial</w:t>
            </w:r>
            <w:r w:rsidR="00EB2E3E" w:rsidRPr="00EF0BF4">
              <w:rPr>
                <w:rFonts w:ascii="Arial" w:hAnsi="Arial" w:cs="Arial"/>
                <w:position w:val="-5"/>
                <w:sz w:val="22"/>
                <w:szCs w:val="22"/>
              </w:rPr>
              <w:t>}</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w:t>
            </w:r>
            <w:r w:rsidR="006A1359" w:rsidRPr="00EF0BF4">
              <w:rPr>
                <w:rFonts w:ascii="Arial" w:hAnsi="Arial" w:cs="Arial"/>
                <w:position w:val="-5"/>
                <w:sz w:val="22"/>
                <w:szCs w:val="22"/>
              </w:rPr>
              <w:t>municipioliquidacionoficial</w:t>
            </w:r>
            <w:r w:rsidR="00EB2E3E" w:rsidRPr="00EF0BF4">
              <w:rPr>
                <w:rFonts w:ascii="Arial" w:hAnsi="Arial" w:cs="Arial"/>
                <w:position w:val="-5"/>
                <w:sz w:val="22"/>
                <w:szCs w:val="22"/>
              </w:rPr>
              <w:t>}</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w:t>
            </w:r>
            <w:r w:rsidR="006A1359" w:rsidRPr="00EF0BF4">
              <w:rPr>
                <w:rFonts w:ascii="Arial" w:hAnsi="Arial" w:cs="Arial"/>
                <w:position w:val="-5"/>
                <w:sz w:val="22"/>
                <w:szCs w:val="22"/>
              </w:rPr>
              <w:t>departamentoliquidacionoficial</w:t>
            </w:r>
            <w:r w:rsidRPr="00EF0BF4">
              <w:rPr>
                <w:rFonts w:ascii="Arial" w:hAnsi="Arial" w:cs="Arial"/>
                <w:position w:val="-5"/>
                <w:sz w:val="22"/>
                <w:szCs w:val="22"/>
              </w:rPr>
              <w:t>}</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${placavehiculo}</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${marcavehiculo}</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${modelovehiculo}</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${lineavehiculo}</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bookmarkStart w:id="0" w:name="_GoBack"/>
    </w:p>
    <w:bookmarkEnd w:id="0"/>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w:t>
      </w:r>
      <w:proofErr w:type="spellStart"/>
      <w:r w:rsidR="00181FE2" w:rsidRPr="00E216F6">
        <w:rPr>
          <w:rFonts w:ascii="Arial" w:hAnsi="Arial" w:cs="Arial"/>
          <w:sz w:val="20"/>
          <w:szCs w:val="20"/>
          <w:lang w:val="es-ES"/>
        </w:rPr>
        <w:t>textopropietariovehiculo</w:t>
      </w:r>
      <w:proofErr w:type="spellEnd"/>
      <w:r w:rsidR="00181FE2" w:rsidRPr="00E216F6">
        <w:rPr>
          <w:rFonts w:ascii="Arial" w:hAnsi="Arial" w:cs="Arial"/>
          <w:sz w:val="20"/>
          <w:szCs w:val="20"/>
          <w:lang w:val="es-ES"/>
        </w:rPr>
        <w:t>}</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${tliquidacion}</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${tluno}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${tldos}</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${tltres}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${tlcuatro}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${tlcinco}</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${tlseis}</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${tlsiete}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${tocho}</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${textopropietariovehiculo}</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w:t>
      </w:r>
      <w:proofErr w:type="spellStart"/>
      <w:r w:rsidRPr="00EF0BF4">
        <w:rPr>
          <w:rFonts w:ascii="Arial" w:hAnsi="Arial" w:cs="Arial"/>
          <w:sz w:val="16"/>
          <w:szCs w:val="16"/>
          <w:lang w:val="es-ES"/>
        </w:rPr>
        <w:t>proyectodocumento</w:t>
      </w:r>
      <w:proofErr w:type="spellEnd"/>
      <w:r w:rsidRPr="00EF0BF4">
        <w:rPr>
          <w:rFonts w:ascii="Arial" w:hAnsi="Arial" w:cs="Arial"/>
          <w:sz w:val="16"/>
          <w:szCs w:val="16"/>
          <w:lang w:val="es-ES"/>
        </w:rPr>
        <w:t>}</w:t>
      </w:r>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63E9E" w14:textId="77777777" w:rsidR="002957D6" w:rsidRDefault="002957D6">
      <w:r>
        <w:separator/>
      </w:r>
    </w:p>
  </w:endnote>
  <w:endnote w:type="continuationSeparator" w:id="0">
    <w:p w14:paraId="757C719E" w14:textId="77777777" w:rsidR="002957D6" w:rsidRDefault="0029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4CAB9" w14:textId="77777777" w:rsidR="002957D6" w:rsidRDefault="002957D6">
      <w:r>
        <w:separator/>
      </w:r>
    </w:p>
  </w:footnote>
  <w:footnote w:type="continuationSeparator" w:id="0">
    <w:p w14:paraId="3BBF2C27" w14:textId="77777777" w:rsidR="002957D6" w:rsidRDefault="002957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2957D6" w:rsidRPr="004C7B7B" w14:paraId="270F6132" w14:textId="77777777" w:rsidTr="002957D6">
      <w:trPr>
        <w:trHeight w:val="67"/>
        <w:jc w:val="center"/>
      </w:trPr>
      <w:tc>
        <w:tcPr>
          <w:tcW w:w="1776" w:type="dxa"/>
          <w:vMerge w:val="restart"/>
          <w:shd w:val="clear" w:color="auto" w:fill="auto"/>
          <w:vAlign w:val="center"/>
        </w:tcPr>
        <w:p w14:paraId="5A099180" w14:textId="17405766" w:rsidR="00722A79" w:rsidRPr="002957D6" w:rsidRDefault="00722A79" w:rsidP="002957D6">
          <w:pPr>
            <w:pStyle w:val="Encabezado"/>
            <w:contextualSpacing/>
            <w:jc w:val="center"/>
            <w:rPr>
              <w:rFonts w:ascii="Arial" w:hAnsi="Arial" w:cs="Arial"/>
              <w:b/>
              <w:sz w:val="20"/>
              <w:szCs w:val="20"/>
            </w:rPr>
          </w:pPr>
          <w:r w:rsidRPr="002957D6">
            <w:rPr>
              <w:rFonts w:ascii="Arial" w:hAnsi="Arial" w:cs="Arial"/>
              <w:b/>
              <w:noProof/>
              <w:sz w:val="20"/>
              <w:szCs w:val="20"/>
              <w:lang w:val="es-ES_tradnl" w:eastAsia="es-ES_tradnl"/>
            </w:rPr>
            <w:pict w14:anchorId="68156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30__x0020_Imagen" o:spid="_x0000_i1025" type="#_x0000_t75" style="width:77.7pt;height:82.7pt;visibility:visible;mso-wrap-style:square">
                <v:imagedata r:id="rId1" o:title=""/>
              </v:shape>
            </w:pict>
          </w:r>
        </w:p>
      </w:tc>
      <w:tc>
        <w:tcPr>
          <w:tcW w:w="8430" w:type="dxa"/>
          <w:shd w:val="clear" w:color="auto" w:fill="auto"/>
        </w:tcPr>
        <w:p w14:paraId="3C1FB27E" w14:textId="4874C399"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LIQUIDACIÓN OFICIAL</w:t>
          </w:r>
        </w:p>
      </w:tc>
    </w:tr>
    <w:tr w:rsidR="002957D6" w:rsidRPr="004C7B7B" w14:paraId="7AAD63B3" w14:textId="77777777" w:rsidTr="002957D6">
      <w:trPr>
        <w:trHeight w:val="67"/>
        <w:jc w:val="center"/>
      </w:trPr>
      <w:tc>
        <w:tcPr>
          <w:tcW w:w="1776" w:type="dxa"/>
          <w:vMerge/>
          <w:shd w:val="clear" w:color="auto" w:fill="auto"/>
          <w:vAlign w:val="center"/>
        </w:tcPr>
        <w:p w14:paraId="14107157"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55D8D698" w14:textId="5EB2864A"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FO-GF-29</w:t>
          </w:r>
        </w:p>
      </w:tc>
    </w:tr>
    <w:tr w:rsidR="002957D6" w:rsidRPr="004C7B7B" w14:paraId="07AC3B78" w14:textId="77777777" w:rsidTr="002957D6">
      <w:trPr>
        <w:trHeight w:val="67"/>
        <w:jc w:val="center"/>
      </w:trPr>
      <w:tc>
        <w:tcPr>
          <w:tcW w:w="1776" w:type="dxa"/>
          <w:vMerge/>
          <w:shd w:val="clear" w:color="auto" w:fill="auto"/>
          <w:vAlign w:val="center"/>
        </w:tcPr>
        <w:p w14:paraId="68D6CC1A"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1360E7E0" w14:textId="53A9487E"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17-03-2017</w:t>
          </w:r>
        </w:p>
      </w:tc>
    </w:tr>
    <w:tr w:rsidR="002957D6" w:rsidRPr="004C7B7B" w14:paraId="29CF0A4A" w14:textId="77777777" w:rsidTr="002957D6">
      <w:trPr>
        <w:trHeight w:val="67"/>
        <w:jc w:val="center"/>
      </w:trPr>
      <w:tc>
        <w:tcPr>
          <w:tcW w:w="1776" w:type="dxa"/>
          <w:vMerge/>
          <w:shd w:val="clear" w:color="auto" w:fill="auto"/>
          <w:vAlign w:val="center"/>
        </w:tcPr>
        <w:p w14:paraId="75721BD2"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35A22E17" w14:textId="7E081C2C" w:rsidR="00722A79" w:rsidRPr="002957D6" w:rsidRDefault="00722A79" w:rsidP="002957D6">
          <w:pPr>
            <w:pStyle w:val="Encabezado"/>
            <w:contextualSpacing/>
            <w:jc w:val="right"/>
            <w:rPr>
              <w:rFonts w:ascii="Arial" w:hAnsi="Arial" w:cs="Arial"/>
              <w:b/>
              <w:noProof/>
              <w:sz w:val="20"/>
              <w:szCs w:val="20"/>
              <w:lang w:val="es-ES"/>
            </w:rPr>
          </w:pPr>
          <w:r w:rsidRPr="002957D6">
            <w:rPr>
              <w:rFonts w:ascii="Arial" w:hAnsi="Arial" w:cs="Arial"/>
              <w:b/>
              <w:noProof/>
              <w:sz w:val="20"/>
              <w:szCs w:val="20"/>
              <w:lang w:val="es-ES"/>
            </w:rPr>
            <w:t>V.01</w:t>
          </w:r>
        </w:p>
      </w:tc>
    </w:tr>
    <w:tr w:rsidR="002957D6" w:rsidRPr="004C7B7B" w14:paraId="6C572C79" w14:textId="77777777" w:rsidTr="002957D6">
      <w:trPr>
        <w:trHeight w:val="163"/>
        <w:jc w:val="center"/>
      </w:trPr>
      <w:tc>
        <w:tcPr>
          <w:tcW w:w="1776" w:type="dxa"/>
          <w:vMerge/>
          <w:shd w:val="clear" w:color="auto" w:fill="auto"/>
          <w:vAlign w:val="center"/>
        </w:tcPr>
        <w:p w14:paraId="06CA7BDF" w14:textId="77777777" w:rsidR="00722A79" w:rsidRPr="002957D6" w:rsidRDefault="00722A79" w:rsidP="002957D6">
          <w:pPr>
            <w:pStyle w:val="Encabezado"/>
            <w:contextualSpacing/>
            <w:jc w:val="center"/>
            <w:rPr>
              <w:rFonts w:ascii="Arial" w:hAnsi="Arial" w:cs="Arial"/>
              <w:b/>
              <w:noProof/>
              <w:sz w:val="20"/>
              <w:szCs w:val="20"/>
              <w:lang w:val="es-ES"/>
            </w:rPr>
          </w:pPr>
        </w:p>
      </w:tc>
      <w:tc>
        <w:tcPr>
          <w:tcW w:w="8430" w:type="dxa"/>
          <w:shd w:val="clear" w:color="auto" w:fill="auto"/>
        </w:tcPr>
        <w:p w14:paraId="20FEDC53" w14:textId="77777777" w:rsidR="00722A79" w:rsidRPr="002957D6" w:rsidRDefault="00722A79" w:rsidP="002957D6">
          <w:pPr>
            <w:pStyle w:val="Encabezado"/>
            <w:contextualSpacing/>
            <w:jc w:val="center"/>
            <w:rPr>
              <w:rFonts w:ascii="Arial" w:hAnsi="Arial" w:cs="Arial"/>
              <w:b/>
              <w:noProof/>
              <w:sz w:val="20"/>
              <w:szCs w:val="20"/>
              <w:lang w:val="es-ES"/>
            </w:rPr>
          </w:pPr>
        </w:p>
      </w:tc>
    </w:tr>
  </w:tbl>
  <w:p w14:paraId="2EABF1A2" w14:textId="77777777" w:rsidR="00945B37" w:rsidRPr="00722A79" w:rsidRDefault="00945B37" w:rsidP="00722A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957D6"/>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22A79"/>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73</cp:revision>
  <dcterms:created xsi:type="dcterms:W3CDTF">2017-11-17T22:09:00Z</dcterms:created>
  <dcterms:modified xsi:type="dcterms:W3CDTF">2018-09-28T14:18:00Z</dcterms:modified>
</cp:coreProperties>
</file>