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${referencia_catastral}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${propietario}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${valor_avaluo_b}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${matricula_inmobiliaria}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${direccion}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${nit}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${area_terreno}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${area_construida}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${tasa_anual}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${tasa_mensual}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${fecha_emision}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${fecha_vencimiento}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${1}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${3}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${4}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${11}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${12}%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${5}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${6}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${13}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${14}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${7}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${8}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${9}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${16}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${10}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${periodos}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${num_factura}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${fecha_emision}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bookmarkStart w:id="1" w:name="__DdeLink__290_3971003297"/>
            <w:r>
              <w:rPr>
                <w:rFonts w:cs="Arial" w:ascii="Arial" w:hAnsi="Arial"/>
                <w:sz w:val="14"/>
                <w:szCs w:val="14"/>
              </w:rPr>
              <w:t>totalPagado</w:t>
            </w:r>
            <w:bookmarkEnd w:id="1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${leyenda_titulo}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${leyenda_descripcion}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${20}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${30}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${40}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${50}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${60}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${70}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${80}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${100}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${referencia_catastral}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${valor_avaluo_b}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r>
              <w:rPr>
                <w:rFonts w:cs="Arial" w:ascii="Arial" w:hAnsi="Arial"/>
                <w:sz w:val="10"/>
                <w:szCs w:val="10"/>
              </w:rPr>
              <w:t>totalPagado</w:t>
            </w:r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${fecha_vencimiento}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${propietario}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${nit}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${direccion}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